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E4CA" w14:textId="77777777" w:rsidR="00CD581A" w:rsidRPr="00124621" w:rsidRDefault="00CD581A">
      <w:pPr>
        <w:rPr>
          <w:sz w:val="6"/>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21"/>
      </w:tblGrid>
      <w:tr w:rsidR="00CD581A" w:rsidRPr="00CD581A" w14:paraId="16B3D630" w14:textId="77777777" w:rsidTr="0089248C">
        <w:tc>
          <w:tcPr>
            <w:tcW w:w="3119" w:type="dxa"/>
            <w:tcBorders>
              <w:top w:val="single" w:sz="4" w:space="0" w:color="auto"/>
              <w:left w:val="single" w:sz="4" w:space="0" w:color="auto"/>
              <w:bottom w:val="single" w:sz="4" w:space="0" w:color="auto"/>
              <w:right w:val="single" w:sz="4" w:space="0" w:color="auto"/>
            </w:tcBorders>
            <w:vAlign w:val="center"/>
            <w:hideMark/>
          </w:tcPr>
          <w:p w14:paraId="5CCEE522" w14:textId="77777777" w:rsidR="00CD581A" w:rsidRPr="00CD581A" w:rsidRDefault="00CD581A" w:rsidP="00EB4603">
            <w:pPr>
              <w:spacing w:before="40" w:after="40"/>
              <w:rPr>
                <w:rFonts w:ascii="Calibri" w:hAnsi="Calibri" w:cs="Calibri"/>
                <w:b/>
                <w:sz w:val="24"/>
              </w:rPr>
            </w:pPr>
            <w:r w:rsidRPr="00CD581A">
              <w:rPr>
                <w:rFonts w:ascii="Calibri" w:hAnsi="Calibri" w:cs="Calibri"/>
                <w:b/>
                <w:sz w:val="24"/>
              </w:rPr>
              <w:t>Report title</w:t>
            </w:r>
          </w:p>
        </w:tc>
        <w:tc>
          <w:tcPr>
            <w:tcW w:w="6521" w:type="dxa"/>
            <w:tcBorders>
              <w:top w:val="single" w:sz="4" w:space="0" w:color="auto"/>
              <w:left w:val="single" w:sz="4" w:space="0" w:color="auto"/>
              <w:bottom w:val="single" w:sz="4" w:space="0" w:color="auto"/>
              <w:right w:val="single" w:sz="4" w:space="0" w:color="auto"/>
            </w:tcBorders>
            <w:vAlign w:val="center"/>
          </w:tcPr>
          <w:p w14:paraId="08393BB2" w14:textId="77777777" w:rsidR="00CD581A" w:rsidRPr="00CD581A" w:rsidRDefault="00CD581A" w:rsidP="00EB4603">
            <w:pPr>
              <w:tabs>
                <w:tab w:val="center" w:pos="4153"/>
                <w:tab w:val="right" w:pos="8306"/>
              </w:tabs>
              <w:spacing w:before="40" w:after="40"/>
              <w:rPr>
                <w:rFonts w:ascii="Calibri" w:hAnsi="Calibri" w:cs="Calibri"/>
                <w:sz w:val="24"/>
              </w:rPr>
            </w:pPr>
            <w:r>
              <w:rPr>
                <w:rFonts w:ascii="Calibri" w:hAnsi="Calibri" w:cs="Calibri"/>
                <w:sz w:val="24"/>
              </w:rPr>
              <w:t>Learning from deaths</w:t>
            </w:r>
          </w:p>
        </w:tc>
      </w:tr>
      <w:tr w:rsidR="00CD581A" w:rsidRPr="00CD581A" w14:paraId="6235DA5D" w14:textId="77777777" w:rsidTr="0089248C">
        <w:tc>
          <w:tcPr>
            <w:tcW w:w="3119" w:type="dxa"/>
            <w:tcBorders>
              <w:top w:val="single" w:sz="4" w:space="0" w:color="auto"/>
              <w:left w:val="single" w:sz="4" w:space="0" w:color="auto"/>
              <w:bottom w:val="single" w:sz="4" w:space="0" w:color="auto"/>
              <w:right w:val="single" w:sz="4" w:space="0" w:color="auto"/>
            </w:tcBorders>
            <w:vAlign w:val="center"/>
          </w:tcPr>
          <w:p w14:paraId="0C2C9D99" w14:textId="77777777" w:rsidR="00CD581A" w:rsidRPr="00CD581A" w:rsidRDefault="00CD581A" w:rsidP="00EB4603">
            <w:pPr>
              <w:spacing w:before="40" w:after="40"/>
              <w:rPr>
                <w:rFonts w:ascii="Calibri" w:hAnsi="Calibri" w:cs="Calibri"/>
                <w:b/>
                <w:sz w:val="24"/>
              </w:rPr>
            </w:pPr>
            <w:r w:rsidRPr="00CD581A">
              <w:rPr>
                <w:rFonts w:ascii="Calibri" w:hAnsi="Calibri" w:cs="Calibri"/>
                <w:b/>
                <w:sz w:val="24"/>
              </w:rPr>
              <w:t xml:space="preserve">Report from </w:t>
            </w:r>
          </w:p>
        </w:tc>
        <w:tc>
          <w:tcPr>
            <w:tcW w:w="6521" w:type="dxa"/>
            <w:tcBorders>
              <w:top w:val="single" w:sz="4" w:space="0" w:color="auto"/>
              <w:left w:val="single" w:sz="4" w:space="0" w:color="auto"/>
              <w:bottom w:val="single" w:sz="4" w:space="0" w:color="auto"/>
              <w:right w:val="single" w:sz="4" w:space="0" w:color="auto"/>
            </w:tcBorders>
            <w:vAlign w:val="center"/>
          </w:tcPr>
          <w:p w14:paraId="26A6A5DD" w14:textId="0C9C2B4D" w:rsidR="00CD581A" w:rsidRPr="00CD581A" w:rsidRDefault="002C13FF" w:rsidP="00EB4603">
            <w:pPr>
              <w:tabs>
                <w:tab w:val="center" w:pos="4153"/>
                <w:tab w:val="right" w:pos="8306"/>
              </w:tabs>
              <w:spacing w:before="40" w:after="40"/>
              <w:rPr>
                <w:rFonts w:ascii="Calibri" w:hAnsi="Calibri" w:cs="Calibri"/>
                <w:sz w:val="24"/>
              </w:rPr>
            </w:pPr>
            <w:r>
              <w:rPr>
                <w:rFonts w:ascii="Calibri" w:hAnsi="Calibri" w:cs="Calibri"/>
                <w:sz w:val="24"/>
              </w:rPr>
              <w:t>Louisa Wickham</w:t>
            </w:r>
            <w:r w:rsidR="00CD581A" w:rsidRPr="00CD581A">
              <w:rPr>
                <w:rFonts w:ascii="Calibri" w:hAnsi="Calibri" w:cs="Calibri"/>
                <w:sz w:val="24"/>
              </w:rPr>
              <w:t>, medical director</w:t>
            </w:r>
          </w:p>
        </w:tc>
      </w:tr>
      <w:tr w:rsidR="00CD581A" w:rsidRPr="00CD581A" w14:paraId="7B021147" w14:textId="77777777" w:rsidTr="0089248C">
        <w:tc>
          <w:tcPr>
            <w:tcW w:w="3119" w:type="dxa"/>
            <w:tcBorders>
              <w:top w:val="single" w:sz="4" w:space="0" w:color="auto"/>
              <w:left w:val="single" w:sz="4" w:space="0" w:color="auto"/>
              <w:bottom w:val="single" w:sz="4" w:space="0" w:color="auto"/>
              <w:right w:val="single" w:sz="4" w:space="0" w:color="auto"/>
            </w:tcBorders>
            <w:vAlign w:val="center"/>
          </w:tcPr>
          <w:p w14:paraId="4706FBC6" w14:textId="77777777" w:rsidR="00CD581A" w:rsidRPr="00CD581A" w:rsidRDefault="00CD581A" w:rsidP="00EB4603">
            <w:pPr>
              <w:spacing w:before="40" w:after="40"/>
              <w:rPr>
                <w:rFonts w:ascii="Calibri" w:hAnsi="Calibri" w:cs="Calibri"/>
                <w:b/>
                <w:sz w:val="24"/>
              </w:rPr>
            </w:pPr>
            <w:r w:rsidRPr="00CD581A">
              <w:rPr>
                <w:rFonts w:ascii="Calibri" w:hAnsi="Calibri" w:cs="Calibri"/>
                <w:b/>
                <w:sz w:val="24"/>
              </w:rPr>
              <w:t>Prepared by</w:t>
            </w:r>
          </w:p>
        </w:tc>
        <w:tc>
          <w:tcPr>
            <w:tcW w:w="6521" w:type="dxa"/>
            <w:tcBorders>
              <w:top w:val="single" w:sz="4" w:space="0" w:color="auto"/>
              <w:left w:val="single" w:sz="4" w:space="0" w:color="auto"/>
              <w:bottom w:val="single" w:sz="4" w:space="0" w:color="auto"/>
              <w:right w:val="single" w:sz="4" w:space="0" w:color="auto"/>
            </w:tcBorders>
            <w:vAlign w:val="center"/>
          </w:tcPr>
          <w:p w14:paraId="71F5BA89" w14:textId="77777777" w:rsidR="00CD581A" w:rsidRPr="00CD581A" w:rsidRDefault="00CD581A" w:rsidP="00EB4603">
            <w:pPr>
              <w:tabs>
                <w:tab w:val="center" w:pos="4153"/>
                <w:tab w:val="right" w:pos="8306"/>
              </w:tabs>
              <w:spacing w:before="40" w:after="40"/>
              <w:rPr>
                <w:rFonts w:ascii="Calibri" w:hAnsi="Calibri" w:cs="Calibri"/>
                <w:sz w:val="24"/>
              </w:rPr>
            </w:pPr>
            <w:r>
              <w:rPr>
                <w:rFonts w:ascii="Calibri" w:hAnsi="Calibri" w:cs="Calibri"/>
                <w:sz w:val="24"/>
              </w:rPr>
              <w:t>Julie Nott, head of risk &amp; safety</w:t>
            </w:r>
          </w:p>
        </w:tc>
      </w:tr>
      <w:tr w:rsidR="00CD581A" w:rsidRPr="00CD581A" w14:paraId="657237B4" w14:textId="77777777" w:rsidTr="0089248C">
        <w:tc>
          <w:tcPr>
            <w:tcW w:w="3119" w:type="dxa"/>
            <w:tcBorders>
              <w:top w:val="single" w:sz="4" w:space="0" w:color="auto"/>
              <w:left w:val="single" w:sz="4" w:space="0" w:color="auto"/>
              <w:bottom w:val="single" w:sz="4" w:space="0" w:color="auto"/>
              <w:right w:val="single" w:sz="4" w:space="0" w:color="auto"/>
            </w:tcBorders>
            <w:vAlign w:val="center"/>
          </w:tcPr>
          <w:p w14:paraId="195DC635" w14:textId="77777777" w:rsidR="00CD581A" w:rsidRPr="00CD581A" w:rsidRDefault="00CD581A" w:rsidP="00EB4603">
            <w:pPr>
              <w:spacing w:before="40" w:after="40"/>
              <w:rPr>
                <w:rFonts w:ascii="Calibri" w:hAnsi="Calibri" w:cs="Calibri"/>
                <w:b/>
                <w:sz w:val="24"/>
              </w:rPr>
            </w:pPr>
            <w:r w:rsidRPr="00CD581A">
              <w:rPr>
                <w:rFonts w:ascii="Calibri" w:hAnsi="Calibri" w:cs="Calibri"/>
                <w:b/>
                <w:sz w:val="24"/>
              </w:rPr>
              <w:t>Link to strategic objectives</w:t>
            </w:r>
          </w:p>
        </w:tc>
        <w:tc>
          <w:tcPr>
            <w:tcW w:w="6521" w:type="dxa"/>
            <w:tcBorders>
              <w:top w:val="single" w:sz="4" w:space="0" w:color="auto"/>
              <w:left w:val="single" w:sz="4" w:space="0" w:color="auto"/>
              <w:bottom w:val="single" w:sz="4" w:space="0" w:color="auto"/>
              <w:right w:val="single" w:sz="4" w:space="0" w:color="auto"/>
            </w:tcBorders>
            <w:vAlign w:val="center"/>
          </w:tcPr>
          <w:p w14:paraId="3D89AB02" w14:textId="77777777" w:rsidR="00CD581A" w:rsidRPr="00CD581A" w:rsidRDefault="00CD581A" w:rsidP="00EB4603">
            <w:pPr>
              <w:spacing w:before="40" w:after="40"/>
              <w:rPr>
                <w:sz w:val="24"/>
              </w:rPr>
            </w:pPr>
            <w:r w:rsidRPr="00CD581A">
              <w:rPr>
                <w:rFonts w:ascii="Calibri" w:hAnsi="Calibri" w:cs="Calibri"/>
                <w:sz w:val="24"/>
              </w:rPr>
              <w:t>We will pioneer patient-centred care with exceptional clinical outcomes and excellent patient experience</w:t>
            </w:r>
          </w:p>
        </w:tc>
      </w:tr>
    </w:tbl>
    <w:p w14:paraId="69CFD545" w14:textId="77777777" w:rsidR="00CD581A" w:rsidRDefault="00CD581A" w:rsidP="00124621">
      <w:pPr>
        <w:pStyle w:val="Venue"/>
        <w:tabs>
          <w:tab w:val="left" w:pos="1985"/>
        </w:tabs>
        <w:spacing w:after="12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2"/>
        <w:gridCol w:w="310"/>
        <w:gridCol w:w="1818"/>
        <w:gridCol w:w="401"/>
        <w:gridCol w:w="1818"/>
        <w:gridCol w:w="389"/>
        <w:gridCol w:w="1887"/>
        <w:gridCol w:w="435"/>
      </w:tblGrid>
      <w:tr w:rsidR="00124621" w:rsidRPr="00F05A23" w14:paraId="7AE47E8C" w14:textId="77777777" w:rsidTr="0089248C">
        <w:tc>
          <w:tcPr>
            <w:tcW w:w="9640" w:type="dxa"/>
            <w:gridSpan w:val="8"/>
            <w:tcBorders>
              <w:top w:val="single" w:sz="4" w:space="0" w:color="auto"/>
              <w:left w:val="single" w:sz="4" w:space="0" w:color="auto"/>
              <w:bottom w:val="single" w:sz="4" w:space="0" w:color="auto"/>
              <w:right w:val="single" w:sz="4" w:space="0" w:color="auto"/>
            </w:tcBorders>
          </w:tcPr>
          <w:p w14:paraId="6535B2F2" w14:textId="77777777" w:rsidR="00124621" w:rsidRDefault="00124621" w:rsidP="00CC41CF">
            <w:pPr>
              <w:spacing w:after="100"/>
              <w:jc w:val="both"/>
              <w:rPr>
                <w:rFonts w:ascii="Calibri" w:hAnsi="Calibri" w:cs="Calibri"/>
                <w:b/>
                <w:sz w:val="24"/>
              </w:rPr>
            </w:pPr>
            <w:r w:rsidRPr="00F05A23">
              <w:rPr>
                <w:rFonts w:ascii="Calibri" w:hAnsi="Calibri" w:cs="Calibri"/>
                <w:b/>
                <w:sz w:val="24"/>
              </w:rPr>
              <w:t>Executive summary</w:t>
            </w:r>
          </w:p>
          <w:p w14:paraId="581EE9EB" w14:textId="77777777" w:rsidR="003922B2" w:rsidRPr="000F2223" w:rsidRDefault="003922B2" w:rsidP="00CC41CF">
            <w:pPr>
              <w:spacing w:after="100"/>
              <w:jc w:val="both"/>
              <w:rPr>
                <w:rFonts w:ascii="Calibri" w:hAnsi="Calibri" w:cs="Calibri"/>
                <w:sz w:val="24"/>
              </w:rPr>
            </w:pPr>
            <w:r w:rsidRPr="000F2223">
              <w:rPr>
                <w:rFonts w:ascii="Calibri" w:hAnsi="Calibri" w:cs="Calibri"/>
                <w:sz w:val="24"/>
              </w:rPr>
              <w:t xml:space="preserve">This report provides </w:t>
            </w:r>
            <w:r>
              <w:rPr>
                <w:rFonts w:ascii="Calibri" w:hAnsi="Calibri" w:cs="Calibri"/>
                <w:sz w:val="24"/>
              </w:rPr>
              <w:t>an</w:t>
            </w:r>
            <w:r w:rsidRPr="000F2223">
              <w:rPr>
                <w:rFonts w:ascii="Calibri" w:hAnsi="Calibri" w:cs="Calibri"/>
                <w:sz w:val="24"/>
              </w:rPr>
              <w:t xml:space="preserve"> update regarding how we learn from deaths that occur within Moorfields defined by criteria (see Annex below) as set out in trust policy. It is a requirement for all trusts to have a similar policy. </w:t>
            </w:r>
          </w:p>
          <w:p w14:paraId="3500CDD0" w14:textId="10CAEED8" w:rsidR="00124621" w:rsidRPr="00F05A23" w:rsidRDefault="003922B2" w:rsidP="00CE32A7">
            <w:pPr>
              <w:spacing w:after="100"/>
              <w:jc w:val="both"/>
              <w:rPr>
                <w:rFonts w:ascii="Calibri" w:hAnsi="Calibri" w:cs="Calibri"/>
                <w:sz w:val="24"/>
              </w:rPr>
            </w:pPr>
            <w:r w:rsidRPr="000F2223">
              <w:rPr>
                <w:rFonts w:ascii="Calibri" w:hAnsi="Calibri" w:cs="Calibri"/>
                <w:sz w:val="24"/>
              </w:rPr>
              <w:t xml:space="preserve">The trust has identified </w:t>
            </w:r>
            <w:r w:rsidR="00826AF5">
              <w:rPr>
                <w:rFonts w:ascii="Calibri" w:hAnsi="Calibri" w:cs="Calibri"/>
                <w:sz w:val="24"/>
              </w:rPr>
              <w:t>one</w:t>
            </w:r>
            <w:r w:rsidRPr="000F2223">
              <w:rPr>
                <w:rFonts w:ascii="Calibri" w:hAnsi="Calibri" w:cs="Calibri"/>
                <w:sz w:val="24"/>
              </w:rPr>
              <w:t xml:space="preserve"> patient death in Q</w:t>
            </w:r>
            <w:r w:rsidR="00826AF5">
              <w:rPr>
                <w:rFonts w:ascii="Calibri" w:hAnsi="Calibri" w:cs="Calibri"/>
                <w:sz w:val="24"/>
              </w:rPr>
              <w:t>4</w:t>
            </w:r>
            <w:r>
              <w:rPr>
                <w:rFonts w:ascii="Calibri" w:hAnsi="Calibri" w:cs="Calibri"/>
                <w:sz w:val="24"/>
              </w:rPr>
              <w:t xml:space="preserve"> </w:t>
            </w:r>
            <w:r w:rsidR="00CC41CF">
              <w:rPr>
                <w:rFonts w:ascii="Calibri" w:hAnsi="Calibri" w:cs="Calibri"/>
                <w:sz w:val="24"/>
              </w:rPr>
              <w:t xml:space="preserve">2021/22 </w:t>
            </w:r>
            <w:r w:rsidRPr="000F2223">
              <w:rPr>
                <w:rFonts w:ascii="Calibri" w:hAnsi="Calibri" w:cs="Calibri"/>
                <w:sz w:val="24"/>
              </w:rPr>
              <w:t>that fal</w:t>
            </w:r>
            <w:r>
              <w:rPr>
                <w:rFonts w:ascii="Calibri" w:hAnsi="Calibri" w:cs="Calibri"/>
                <w:sz w:val="24"/>
              </w:rPr>
              <w:t>l</w:t>
            </w:r>
            <w:r w:rsidR="00826AF5">
              <w:rPr>
                <w:rFonts w:ascii="Calibri" w:hAnsi="Calibri" w:cs="Calibri"/>
                <w:sz w:val="24"/>
              </w:rPr>
              <w:t>s</w:t>
            </w:r>
            <w:r>
              <w:rPr>
                <w:rFonts w:ascii="Calibri" w:hAnsi="Calibri" w:cs="Calibri"/>
                <w:sz w:val="24"/>
              </w:rPr>
              <w:t xml:space="preserve"> </w:t>
            </w:r>
            <w:r w:rsidRPr="000F2223">
              <w:rPr>
                <w:rFonts w:ascii="Calibri" w:hAnsi="Calibri" w:cs="Calibri"/>
                <w:sz w:val="24"/>
              </w:rPr>
              <w:t>within the scope of the learning from deaths policy.</w:t>
            </w:r>
            <w:r w:rsidR="002C13FF">
              <w:rPr>
                <w:rFonts w:ascii="Calibri" w:hAnsi="Calibri" w:cs="Calibri"/>
                <w:sz w:val="24"/>
              </w:rPr>
              <w:t xml:space="preserve"> </w:t>
            </w:r>
            <w:r w:rsidR="00826AF5" w:rsidRPr="00826AF5">
              <w:rPr>
                <w:rFonts w:ascii="Calibri" w:hAnsi="Calibri" w:cs="Calibri"/>
                <w:sz w:val="24"/>
              </w:rPr>
              <w:t>This death is being investigated as a Serious Incident (SI) and the duty of candour process has been initiated</w:t>
            </w:r>
            <w:r w:rsidR="00826AF5">
              <w:rPr>
                <w:rFonts w:ascii="Calibri" w:hAnsi="Calibri" w:cs="Calibri"/>
                <w:sz w:val="24"/>
              </w:rPr>
              <w:t xml:space="preserve"> with the next of kin and the patient’s son</w:t>
            </w:r>
            <w:r w:rsidR="00826AF5" w:rsidRPr="00826AF5">
              <w:rPr>
                <w:rFonts w:ascii="Calibri" w:hAnsi="Calibri" w:cs="Calibri"/>
                <w:sz w:val="24"/>
              </w:rPr>
              <w:t>.</w:t>
            </w:r>
          </w:p>
        </w:tc>
      </w:tr>
      <w:tr w:rsidR="00124621" w:rsidRPr="00F05A23" w14:paraId="48E1CC04" w14:textId="77777777" w:rsidTr="0089248C">
        <w:tc>
          <w:tcPr>
            <w:tcW w:w="9640" w:type="dxa"/>
            <w:gridSpan w:val="8"/>
            <w:tcBorders>
              <w:top w:val="single" w:sz="4" w:space="0" w:color="auto"/>
              <w:left w:val="single" w:sz="4" w:space="0" w:color="auto"/>
              <w:bottom w:val="single" w:sz="4" w:space="0" w:color="auto"/>
              <w:right w:val="single" w:sz="4" w:space="0" w:color="auto"/>
            </w:tcBorders>
          </w:tcPr>
          <w:p w14:paraId="2AD7C6D5" w14:textId="77777777" w:rsidR="00124621" w:rsidRPr="00F05A23" w:rsidRDefault="00124621" w:rsidP="00CC41CF">
            <w:pPr>
              <w:spacing w:after="100"/>
              <w:rPr>
                <w:rFonts w:ascii="Calibri" w:hAnsi="Calibri" w:cs="Calibri"/>
                <w:b/>
                <w:sz w:val="24"/>
              </w:rPr>
            </w:pPr>
            <w:r w:rsidRPr="00F05A23">
              <w:rPr>
                <w:rFonts w:ascii="Calibri" w:hAnsi="Calibri" w:cs="Calibri"/>
                <w:b/>
                <w:sz w:val="24"/>
              </w:rPr>
              <w:t>Quality implications</w:t>
            </w:r>
          </w:p>
          <w:p w14:paraId="32F3AA87" w14:textId="6CB51F02" w:rsidR="00124621" w:rsidRPr="00F05A23" w:rsidRDefault="001E76C6" w:rsidP="00CC41CF">
            <w:pPr>
              <w:spacing w:after="100"/>
              <w:rPr>
                <w:rFonts w:ascii="Calibri" w:hAnsi="Calibri" w:cs="Calibri"/>
                <w:b/>
                <w:sz w:val="24"/>
              </w:rPr>
            </w:pPr>
            <w:r>
              <w:rPr>
                <w:rFonts w:ascii="Calibri" w:hAnsi="Calibri" w:cs="Calibri"/>
                <w:sz w:val="24"/>
              </w:rPr>
              <w:t>The B</w:t>
            </w:r>
            <w:r w:rsidR="00124621" w:rsidRPr="000F2223">
              <w:rPr>
                <w:rFonts w:ascii="Calibri" w:hAnsi="Calibri" w:cs="Calibri"/>
                <w:sz w:val="24"/>
              </w:rPr>
              <w:t>oard needs to be assured that the trust is able to learn lessons from serious incidents in order to prevent repeat mistakes and minimise patient harm.</w:t>
            </w:r>
          </w:p>
        </w:tc>
      </w:tr>
      <w:tr w:rsidR="00124621" w:rsidRPr="00F05A23" w14:paraId="0883909E" w14:textId="77777777" w:rsidTr="0089248C">
        <w:tc>
          <w:tcPr>
            <w:tcW w:w="9640" w:type="dxa"/>
            <w:gridSpan w:val="8"/>
            <w:tcBorders>
              <w:top w:val="single" w:sz="4" w:space="0" w:color="auto"/>
              <w:left w:val="single" w:sz="4" w:space="0" w:color="auto"/>
              <w:bottom w:val="single" w:sz="4" w:space="0" w:color="auto"/>
              <w:right w:val="single" w:sz="4" w:space="0" w:color="auto"/>
            </w:tcBorders>
          </w:tcPr>
          <w:p w14:paraId="195CA087" w14:textId="77777777" w:rsidR="00124621" w:rsidRPr="00F05A23" w:rsidRDefault="00124621" w:rsidP="00CC41CF">
            <w:pPr>
              <w:spacing w:after="100"/>
              <w:rPr>
                <w:rFonts w:ascii="Calibri" w:hAnsi="Calibri" w:cs="Calibri"/>
                <w:b/>
                <w:sz w:val="24"/>
              </w:rPr>
            </w:pPr>
            <w:r w:rsidRPr="00F05A23">
              <w:rPr>
                <w:rFonts w:ascii="Calibri" w:hAnsi="Calibri" w:cs="Calibri"/>
                <w:b/>
                <w:sz w:val="24"/>
              </w:rPr>
              <w:t>Financial implications</w:t>
            </w:r>
          </w:p>
          <w:p w14:paraId="1187242D" w14:textId="68DCB5A0" w:rsidR="00124621" w:rsidRPr="00F05A23" w:rsidRDefault="00124621" w:rsidP="00CC41CF">
            <w:pPr>
              <w:spacing w:after="100"/>
              <w:rPr>
                <w:rFonts w:ascii="Calibri" w:hAnsi="Calibri" w:cs="Calibri"/>
                <w:b/>
                <w:sz w:val="24"/>
              </w:rPr>
            </w:pPr>
            <w:r>
              <w:rPr>
                <w:rFonts w:ascii="Calibri" w:hAnsi="Calibri" w:cs="Calibri"/>
                <w:sz w:val="24"/>
              </w:rPr>
              <w:t xml:space="preserve">Provision of the medical examiner role for Moorfields may have </w:t>
            </w:r>
            <w:r w:rsidR="0074337B">
              <w:rPr>
                <w:rFonts w:ascii="Calibri" w:hAnsi="Calibri" w:cs="Calibri"/>
                <w:sz w:val="24"/>
              </w:rPr>
              <w:t xml:space="preserve">small </w:t>
            </w:r>
            <w:r>
              <w:rPr>
                <w:rFonts w:ascii="Calibri" w:hAnsi="Calibri" w:cs="Calibri"/>
                <w:sz w:val="24"/>
              </w:rPr>
              <w:t>cost im</w:t>
            </w:r>
            <w:r w:rsidR="005A552D">
              <w:rPr>
                <w:rFonts w:ascii="Calibri" w:hAnsi="Calibri" w:cs="Calibri"/>
                <w:sz w:val="24"/>
              </w:rPr>
              <w:t>plicatio</w:t>
            </w:r>
            <w:r w:rsidR="007C34F4">
              <w:rPr>
                <w:rFonts w:ascii="Calibri" w:hAnsi="Calibri" w:cs="Calibri"/>
                <w:sz w:val="24"/>
              </w:rPr>
              <w:t>ns</w:t>
            </w:r>
            <w:r w:rsidR="0074337B">
              <w:rPr>
                <w:rFonts w:ascii="Calibri" w:hAnsi="Calibri" w:cs="Calibri"/>
                <w:sz w:val="24"/>
              </w:rPr>
              <w:t xml:space="preserve"> in the event that costs are required. </w:t>
            </w:r>
          </w:p>
        </w:tc>
      </w:tr>
      <w:tr w:rsidR="00124621" w:rsidRPr="00F05A23" w14:paraId="4D21CDEB" w14:textId="77777777" w:rsidTr="0089248C">
        <w:tc>
          <w:tcPr>
            <w:tcW w:w="9640" w:type="dxa"/>
            <w:gridSpan w:val="8"/>
            <w:tcBorders>
              <w:top w:val="single" w:sz="4" w:space="0" w:color="auto"/>
              <w:left w:val="single" w:sz="4" w:space="0" w:color="auto"/>
              <w:bottom w:val="single" w:sz="4" w:space="0" w:color="auto"/>
              <w:right w:val="single" w:sz="4" w:space="0" w:color="auto"/>
            </w:tcBorders>
          </w:tcPr>
          <w:p w14:paraId="3A4FAEB4" w14:textId="77777777" w:rsidR="00124621" w:rsidRPr="00F05A23" w:rsidRDefault="00124621" w:rsidP="00CC41CF">
            <w:pPr>
              <w:spacing w:after="100"/>
              <w:rPr>
                <w:rFonts w:ascii="Calibri" w:hAnsi="Calibri" w:cs="Calibri"/>
                <w:b/>
                <w:sz w:val="24"/>
              </w:rPr>
            </w:pPr>
            <w:r w:rsidRPr="00F05A23">
              <w:rPr>
                <w:rFonts w:ascii="Calibri" w:hAnsi="Calibri" w:cs="Calibri"/>
                <w:b/>
                <w:sz w:val="24"/>
              </w:rPr>
              <w:t>Risk implications</w:t>
            </w:r>
          </w:p>
          <w:p w14:paraId="1DEDF6CD" w14:textId="77777777" w:rsidR="00124621" w:rsidRPr="00F05A23" w:rsidRDefault="00124621" w:rsidP="00CC41CF">
            <w:pPr>
              <w:spacing w:after="100"/>
              <w:rPr>
                <w:rFonts w:ascii="Calibri" w:hAnsi="Calibri" w:cs="Calibri"/>
                <w:b/>
                <w:sz w:val="24"/>
              </w:rPr>
            </w:pPr>
            <w:r w:rsidRPr="000F2223">
              <w:rPr>
                <w:rFonts w:ascii="Calibri" w:hAnsi="Calibri" w:cs="Calibri"/>
                <w:sz w:val="24"/>
              </w:rPr>
              <w:t>If the trust fails to learn from deaths there is clinical risk in relation to our ability to provide safe care to patients, reputational risk, financial risk of potential litigation and legal risk to directors.</w:t>
            </w:r>
          </w:p>
        </w:tc>
      </w:tr>
      <w:tr w:rsidR="00124621" w:rsidRPr="00F05A23" w14:paraId="43B1A018" w14:textId="77777777" w:rsidTr="0089248C">
        <w:tc>
          <w:tcPr>
            <w:tcW w:w="9640" w:type="dxa"/>
            <w:gridSpan w:val="8"/>
            <w:tcBorders>
              <w:top w:val="single" w:sz="4" w:space="0" w:color="auto"/>
              <w:left w:val="single" w:sz="4" w:space="0" w:color="auto"/>
              <w:bottom w:val="single" w:sz="4" w:space="0" w:color="auto"/>
              <w:right w:val="single" w:sz="4" w:space="0" w:color="auto"/>
            </w:tcBorders>
          </w:tcPr>
          <w:p w14:paraId="24E59A19" w14:textId="77777777" w:rsidR="00124621" w:rsidRPr="00F05A23" w:rsidRDefault="00124621" w:rsidP="00CC41CF">
            <w:pPr>
              <w:spacing w:after="100"/>
              <w:rPr>
                <w:rFonts w:ascii="Calibri" w:hAnsi="Calibri" w:cs="Calibri"/>
                <w:b/>
                <w:sz w:val="24"/>
              </w:rPr>
            </w:pPr>
            <w:r w:rsidRPr="00F05A23">
              <w:rPr>
                <w:rFonts w:ascii="Calibri" w:hAnsi="Calibri" w:cs="Calibri"/>
                <w:b/>
                <w:sz w:val="24"/>
              </w:rPr>
              <w:t>Action Required/Recommendation</w:t>
            </w:r>
          </w:p>
          <w:p w14:paraId="17556FE0" w14:textId="72EF1EC5" w:rsidR="00124621" w:rsidRPr="00F05A23" w:rsidRDefault="00124621" w:rsidP="00CC41CF">
            <w:pPr>
              <w:spacing w:after="100"/>
              <w:jc w:val="both"/>
              <w:rPr>
                <w:rFonts w:ascii="Calibri" w:hAnsi="Calibri" w:cs="Calibri"/>
                <w:sz w:val="24"/>
              </w:rPr>
            </w:pPr>
            <w:r w:rsidRPr="00124621">
              <w:rPr>
                <w:rFonts w:ascii="Calibri" w:hAnsi="Calibri" w:cs="Calibri"/>
                <w:sz w:val="24"/>
              </w:rPr>
              <w:t xml:space="preserve">The </w:t>
            </w:r>
            <w:r w:rsidR="001E76C6">
              <w:rPr>
                <w:rFonts w:ascii="Calibri" w:hAnsi="Calibri" w:cs="Calibri"/>
                <w:sz w:val="24"/>
              </w:rPr>
              <w:t>Board</w:t>
            </w:r>
            <w:r w:rsidRPr="00124621">
              <w:rPr>
                <w:rFonts w:ascii="Calibri" w:hAnsi="Calibri" w:cs="Calibri"/>
                <w:sz w:val="24"/>
              </w:rPr>
              <w:t xml:space="preserve"> is asked to receive the report for assurance</w:t>
            </w:r>
            <w:r>
              <w:rPr>
                <w:rFonts w:ascii="Calibri" w:hAnsi="Calibri" w:cs="Calibri"/>
                <w:sz w:val="24"/>
              </w:rPr>
              <w:t xml:space="preserve"> and information</w:t>
            </w:r>
            <w:r w:rsidRPr="00124621">
              <w:rPr>
                <w:rFonts w:ascii="Calibri" w:hAnsi="Calibri" w:cs="Calibri"/>
                <w:sz w:val="24"/>
              </w:rPr>
              <w:t>.</w:t>
            </w:r>
          </w:p>
        </w:tc>
      </w:tr>
      <w:tr w:rsidR="00124621" w:rsidRPr="00F05A23" w14:paraId="0A4EC66B" w14:textId="77777777" w:rsidTr="0089248C">
        <w:tc>
          <w:tcPr>
            <w:tcW w:w="2582" w:type="dxa"/>
            <w:tcBorders>
              <w:top w:val="single" w:sz="4" w:space="0" w:color="auto"/>
              <w:left w:val="single" w:sz="4" w:space="0" w:color="auto"/>
              <w:bottom w:val="single" w:sz="4" w:space="0" w:color="auto"/>
              <w:right w:val="single" w:sz="4" w:space="0" w:color="auto"/>
            </w:tcBorders>
            <w:vAlign w:val="center"/>
          </w:tcPr>
          <w:p w14:paraId="105789A5" w14:textId="77777777" w:rsidR="00124621" w:rsidRPr="00F05A23" w:rsidRDefault="00124621" w:rsidP="00CC41CF">
            <w:pPr>
              <w:spacing w:after="100"/>
              <w:jc w:val="right"/>
              <w:rPr>
                <w:rFonts w:ascii="Calibri" w:hAnsi="Calibri" w:cs="Calibri"/>
                <w:b/>
                <w:sz w:val="24"/>
              </w:rPr>
            </w:pPr>
            <w:r w:rsidRPr="00F05A23">
              <w:rPr>
                <w:rFonts w:ascii="Calibri" w:hAnsi="Calibri" w:cs="Calibri"/>
                <w:b/>
                <w:sz w:val="24"/>
              </w:rPr>
              <w:t>For Assurance</w:t>
            </w:r>
          </w:p>
        </w:tc>
        <w:tc>
          <w:tcPr>
            <w:tcW w:w="310" w:type="dxa"/>
            <w:tcBorders>
              <w:top w:val="single" w:sz="4" w:space="0" w:color="auto"/>
              <w:left w:val="single" w:sz="4" w:space="0" w:color="auto"/>
              <w:bottom w:val="single" w:sz="4" w:space="0" w:color="auto"/>
              <w:right w:val="single" w:sz="4" w:space="0" w:color="auto"/>
            </w:tcBorders>
            <w:vAlign w:val="center"/>
          </w:tcPr>
          <w:p w14:paraId="09483904" w14:textId="77777777" w:rsidR="00124621" w:rsidRPr="00F05A23" w:rsidRDefault="00124621" w:rsidP="00CC41CF">
            <w:pPr>
              <w:spacing w:after="100"/>
              <w:jc w:val="right"/>
              <w:rPr>
                <w:rFonts w:ascii="Calibri" w:hAnsi="Calibri" w:cs="Calibri"/>
                <w:b/>
                <w:sz w:val="24"/>
              </w:rPr>
            </w:pPr>
            <w:r w:rsidRPr="00F05A23">
              <w:rPr>
                <w:rFonts w:cs="Arial"/>
                <w:b/>
                <w:sz w:val="24"/>
                <w:szCs w:val="24"/>
              </w:rPr>
              <w:sym w:font="Wingdings" w:char="F0FC"/>
            </w:r>
          </w:p>
        </w:tc>
        <w:tc>
          <w:tcPr>
            <w:tcW w:w="1818" w:type="dxa"/>
            <w:tcBorders>
              <w:top w:val="single" w:sz="4" w:space="0" w:color="auto"/>
              <w:left w:val="single" w:sz="4" w:space="0" w:color="auto"/>
              <w:bottom w:val="single" w:sz="4" w:space="0" w:color="auto"/>
              <w:right w:val="single" w:sz="4" w:space="0" w:color="auto"/>
            </w:tcBorders>
            <w:vAlign w:val="center"/>
          </w:tcPr>
          <w:p w14:paraId="32BFF92A" w14:textId="77777777" w:rsidR="00124621" w:rsidRPr="00F05A23" w:rsidRDefault="00124621" w:rsidP="00CC41CF">
            <w:pPr>
              <w:spacing w:after="100"/>
              <w:jc w:val="right"/>
              <w:rPr>
                <w:rFonts w:ascii="Calibri" w:hAnsi="Calibri" w:cs="Calibri"/>
                <w:b/>
                <w:sz w:val="24"/>
              </w:rPr>
            </w:pPr>
            <w:r w:rsidRPr="00F05A23">
              <w:rPr>
                <w:rFonts w:ascii="Calibri" w:hAnsi="Calibri" w:cs="Calibri"/>
                <w:b/>
                <w:sz w:val="24"/>
              </w:rPr>
              <w:t>For decision</w:t>
            </w:r>
          </w:p>
        </w:tc>
        <w:tc>
          <w:tcPr>
            <w:tcW w:w="401" w:type="dxa"/>
            <w:tcBorders>
              <w:top w:val="single" w:sz="4" w:space="0" w:color="auto"/>
              <w:left w:val="single" w:sz="4" w:space="0" w:color="auto"/>
              <w:bottom w:val="single" w:sz="4" w:space="0" w:color="auto"/>
              <w:right w:val="single" w:sz="4" w:space="0" w:color="auto"/>
            </w:tcBorders>
            <w:vAlign w:val="center"/>
          </w:tcPr>
          <w:p w14:paraId="09C68844" w14:textId="77777777" w:rsidR="00124621" w:rsidRPr="00F05A23" w:rsidRDefault="00124621" w:rsidP="00CC41CF">
            <w:pPr>
              <w:spacing w:after="100"/>
              <w:jc w:val="right"/>
              <w:rPr>
                <w:rFonts w:ascii="Calibri" w:hAnsi="Calibri" w:cs="Calibri"/>
                <w:b/>
                <w:sz w:val="24"/>
              </w:rPr>
            </w:pPr>
          </w:p>
        </w:tc>
        <w:tc>
          <w:tcPr>
            <w:tcW w:w="1818" w:type="dxa"/>
            <w:tcBorders>
              <w:top w:val="single" w:sz="4" w:space="0" w:color="auto"/>
              <w:left w:val="single" w:sz="4" w:space="0" w:color="auto"/>
              <w:bottom w:val="single" w:sz="4" w:space="0" w:color="auto"/>
              <w:right w:val="single" w:sz="4" w:space="0" w:color="auto"/>
            </w:tcBorders>
            <w:vAlign w:val="center"/>
          </w:tcPr>
          <w:p w14:paraId="20666189" w14:textId="77777777" w:rsidR="00124621" w:rsidRPr="00F05A23" w:rsidRDefault="00124621" w:rsidP="00CC41CF">
            <w:pPr>
              <w:spacing w:after="100"/>
              <w:jc w:val="right"/>
              <w:rPr>
                <w:rFonts w:ascii="Calibri" w:hAnsi="Calibri" w:cs="Calibri"/>
                <w:b/>
                <w:sz w:val="24"/>
              </w:rPr>
            </w:pPr>
            <w:r w:rsidRPr="00F05A23">
              <w:rPr>
                <w:rFonts w:ascii="Calibri" w:hAnsi="Calibri" w:cs="Calibri"/>
                <w:b/>
                <w:sz w:val="24"/>
              </w:rPr>
              <w:t>For discussion</w:t>
            </w:r>
          </w:p>
        </w:tc>
        <w:tc>
          <w:tcPr>
            <w:tcW w:w="389" w:type="dxa"/>
            <w:tcBorders>
              <w:top w:val="single" w:sz="4" w:space="0" w:color="auto"/>
              <w:left w:val="single" w:sz="4" w:space="0" w:color="auto"/>
              <w:bottom w:val="single" w:sz="4" w:space="0" w:color="auto"/>
              <w:right w:val="single" w:sz="4" w:space="0" w:color="auto"/>
            </w:tcBorders>
            <w:vAlign w:val="center"/>
          </w:tcPr>
          <w:p w14:paraId="12B88D87" w14:textId="77777777" w:rsidR="00124621" w:rsidRPr="00F05A23" w:rsidRDefault="00124621" w:rsidP="00CC41CF">
            <w:pPr>
              <w:spacing w:after="100"/>
              <w:jc w:val="right"/>
              <w:rPr>
                <w:rFonts w:ascii="Calibri" w:hAnsi="Calibri" w:cs="Calibri"/>
                <w:b/>
                <w:sz w:val="24"/>
              </w:rPr>
            </w:pPr>
          </w:p>
        </w:tc>
        <w:tc>
          <w:tcPr>
            <w:tcW w:w="1887" w:type="dxa"/>
            <w:tcBorders>
              <w:top w:val="single" w:sz="4" w:space="0" w:color="auto"/>
              <w:left w:val="single" w:sz="4" w:space="0" w:color="auto"/>
              <w:bottom w:val="single" w:sz="4" w:space="0" w:color="auto"/>
              <w:right w:val="single" w:sz="4" w:space="0" w:color="auto"/>
            </w:tcBorders>
            <w:vAlign w:val="center"/>
          </w:tcPr>
          <w:p w14:paraId="4D1A35D4" w14:textId="77777777" w:rsidR="00124621" w:rsidRPr="00F05A23" w:rsidRDefault="00124621" w:rsidP="00CC41CF">
            <w:pPr>
              <w:spacing w:after="100"/>
              <w:jc w:val="right"/>
              <w:rPr>
                <w:rFonts w:ascii="Calibri" w:hAnsi="Calibri" w:cs="Calibri"/>
                <w:b/>
                <w:sz w:val="24"/>
              </w:rPr>
            </w:pPr>
            <w:r w:rsidRPr="00F05A23">
              <w:rPr>
                <w:rFonts w:ascii="Calibri" w:hAnsi="Calibri" w:cs="Calibri"/>
                <w:b/>
                <w:sz w:val="24"/>
              </w:rPr>
              <w:t>To note</w:t>
            </w:r>
          </w:p>
        </w:tc>
        <w:tc>
          <w:tcPr>
            <w:tcW w:w="435" w:type="dxa"/>
            <w:tcBorders>
              <w:top w:val="single" w:sz="4" w:space="0" w:color="auto"/>
              <w:left w:val="single" w:sz="4" w:space="0" w:color="auto"/>
              <w:bottom w:val="single" w:sz="4" w:space="0" w:color="auto"/>
              <w:right w:val="single" w:sz="4" w:space="0" w:color="auto"/>
            </w:tcBorders>
            <w:vAlign w:val="center"/>
          </w:tcPr>
          <w:p w14:paraId="018FF24B" w14:textId="77777777" w:rsidR="00124621" w:rsidRPr="00F05A23" w:rsidRDefault="00124621" w:rsidP="00CC41CF">
            <w:pPr>
              <w:spacing w:after="100"/>
              <w:rPr>
                <w:rFonts w:ascii="Calibri" w:hAnsi="Calibri" w:cs="Calibri"/>
                <w:b/>
                <w:sz w:val="24"/>
              </w:rPr>
            </w:pPr>
            <w:r w:rsidRPr="00F05A23">
              <w:rPr>
                <w:rFonts w:cs="Arial"/>
                <w:b/>
                <w:sz w:val="24"/>
                <w:szCs w:val="24"/>
              </w:rPr>
              <w:sym w:font="Wingdings" w:char="F0FC"/>
            </w:r>
          </w:p>
        </w:tc>
      </w:tr>
    </w:tbl>
    <w:p w14:paraId="0B1EBFEE" w14:textId="77777777" w:rsidR="00124621" w:rsidRDefault="00124621" w:rsidP="00124621">
      <w:pPr>
        <w:pStyle w:val="Venue"/>
        <w:tabs>
          <w:tab w:val="left" w:pos="1985"/>
        </w:tabs>
        <w:spacing w:after="120"/>
      </w:pPr>
    </w:p>
    <w:p w14:paraId="35B5D043" w14:textId="77777777" w:rsidR="00124621" w:rsidRDefault="00124621" w:rsidP="00124621">
      <w:pPr>
        <w:pStyle w:val="Venue"/>
        <w:tabs>
          <w:tab w:val="left" w:pos="1985"/>
        </w:tabs>
        <w:spacing w:after="120"/>
        <w:sectPr w:rsidR="00124621" w:rsidSect="00C96AA6">
          <w:headerReference w:type="default" r:id="rId8"/>
          <w:pgSz w:w="11906" w:h="16838"/>
          <w:pgMar w:top="1440" w:right="1440" w:bottom="1440" w:left="1440" w:header="708" w:footer="708" w:gutter="0"/>
          <w:cols w:space="708"/>
          <w:docGrid w:linePitch="360"/>
        </w:sectPr>
      </w:pPr>
    </w:p>
    <w:p w14:paraId="09BD01B1" w14:textId="663F6013" w:rsidR="009F6A66" w:rsidRPr="004B3751" w:rsidRDefault="009F6A66" w:rsidP="00897B0F">
      <w:pPr>
        <w:spacing w:after="120" w:line="264" w:lineRule="auto"/>
        <w:rPr>
          <w:sz w:val="24"/>
        </w:rPr>
      </w:pPr>
      <w:r w:rsidRPr="004B3751">
        <w:rPr>
          <w:sz w:val="24"/>
        </w:rPr>
        <w:lastRenderedPageBreak/>
        <w:t>This report satisfies the requirement to provide the trust board with a</w:t>
      </w:r>
      <w:r w:rsidR="008E1D34" w:rsidRPr="004B3751">
        <w:rPr>
          <w:sz w:val="24"/>
        </w:rPr>
        <w:t>n</w:t>
      </w:r>
      <w:r w:rsidRPr="004B3751">
        <w:rPr>
          <w:sz w:val="24"/>
        </w:rPr>
        <w:t xml:space="preserve"> update regarding </w:t>
      </w:r>
      <w:r w:rsidR="000D2C8D" w:rsidRPr="004B3751">
        <w:rPr>
          <w:sz w:val="24"/>
        </w:rPr>
        <w:t>c</w:t>
      </w:r>
      <w:r w:rsidRPr="004B3751">
        <w:rPr>
          <w:sz w:val="24"/>
        </w:rPr>
        <w:t>ompliance with, and learning from, the NHS Improvement learning from deaths agenda.</w:t>
      </w:r>
      <w:r w:rsidR="00897B0F">
        <w:rPr>
          <w:sz w:val="24"/>
        </w:rPr>
        <w:t xml:space="preserve"> </w:t>
      </w:r>
      <w:r w:rsidRPr="004B3751">
        <w:rPr>
          <w:sz w:val="24"/>
        </w:rPr>
        <w:t xml:space="preserve">The </w:t>
      </w:r>
      <w:r w:rsidR="00334C19">
        <w:rPr>
          <w:sz w:val="24"/>
        </w:rPr>
        <w:t>Q</w:t>
      </w:r>
      <w:r w:rsidR="003D4717">
        <w:rPr>
          <w:sz w:val="24"/>
        </w:rPr>
        <w:t>4</w:t>
      </w:r>
      <w:r w:rsidR="00244888" w:rsidRPr="004B3751">
        <w:rPr>
          <w:sz w:val="24"/>
        </w:rPr>
        <w:t xml:space="preserve"> </w:t>
      </w:r>
      <w:r w:rsidR="00C96AA6" w:rsidRPr="004B3751">
        <w:rPr>
          <w:sz w:val="24"/>
        </w:rPr>
        <w:t>20</w:t>
      </w:r>
      <w:r w:rsidR="00BC4A47">
        <w:rPr>
          <w:sz w:val="24"/>
        </w:rPr>
        <w:t>2</w:t>
      </w:r>
      <w:r w:rsidR="00CC41CF">
        <w:rPr>
          <w:sz w:val="24"/>
        </w:rPr>
        <w:t>1</w:t>
      </w:r>
      <w:r w:rsidR="00C96AA6" w:rsidRPr="004B3751">
        <w:rPr>
          <w:sz w:val="24"/>
        </w:rPr>
        <w:t>/2</w:t>
      </w:r>
      <w:r w:rsidR="00CC41CF">
        <w:rPr>
          <w:sz w:val="24"/>
        </w:rPr>
        <w:t>2</w:t>
      </w:r>
      <w:r w:rsidR="00C23B82" w:rsidRPr="004B3751">
        <w:rPr>
          <w:sz w:val="24"/>
        </w:rPr>
        <w:t xml:space="preserve"> data</w:t>
      </w:r>
      <w:r w:rsidRPr="004B3751">
        <w:rPr>
          <w:sz w:val="24"/>
        </w:rPr>
        <w:t xml:space="preserve">, </w:t>
      </w:r>
      <w:r w:rsidR="00A63D26" w:rsidRPr="004B3751">
        <w:rPr>
          <w:sz w:val="24"/>
        </w:rPr>
        <w:t>on</w:t>
      </w:r>
      <w:r w:rsidR="00DA26D6" w:rsidRPr="004B3751">
        <w:rPr>
          <w:sz w:val="24"/>
        </w:rPr>
        <w:t xml:space="preserve"> </w:t>
      </w:r>
      <w:r w:rsidR="00412114">
        <w:rPr>
          <w:sz w:val="24"/>
        </w:rPr>
        <w:t>13</w:t>
      </w:r>
      <w:r w:rsidR="003D4717">
        <w:rPr>
          <w:sz w:val="24"/>
        </w:rPr>
        <w:t xml:space="preserve"> </w:t>
      </w:r>
      <w:r w:rsidR="00412114">
        <w:rPr>
          <w:sz w:val="24"/>
        </w:rPr>
        <w:t>May</w:t>
      </w:r>
      <w:r w:rsidR="00CE32A7">
        <w:rPr>
          <w:sz w:val="24"/>
        </w:rPr>
        <w:t xml:space="preserve"> 2022</w:t>
      </w:r>
      <w:r w:rsidRPr="004B3751">
        <w:rPr>
          <w:sz w:val="24"/>
        </w:rPr>
        <w:t xml:space="preserve">, is </w:t>
      </w:r>
      <w:r w:rsidR="00722CEB" w:rsidRPr="004B3751">
        <w:rPr>
          <w:sz w:val="24"/>
        </w:rPr>
        <w:t xml:space="preserve">shown in </w:t>
      </w:r>
      <w:r w:rsidR="00897B0F">
        <w:rPr>
          <w:sz w:val="24"/>
        </w:rPr>
        <w:t>the table</w:t>
      </w:r>
      <w:r w:rsidR="00722CEB" w:rsidRPr="004B3751">
        <w:rPr>
          <w:sz w:val="24"/>
        </w:rPr>
        <w:t xml:space="preserve"> below. </w:t>
      </w:r>
    </w:p>
    <w:tbl>
      <w:tblPr>
        <w:tblStyle w:val="TableGrid"/>
        <w:tblW w:w="5047" w:type="pct"/>
        <w:tblLayout w:type="fixed"/>
        <w:tblLook w:val="04A0" w:firstRow="1" w:lastRow="0" w:firstColumn="1" w:lastColumn="0" w:noHBand="0" w:noVBand="1"/>
      </w:tblPr>
      <w:tblGrid>
        <w:gridCol w:w="5102"/>
        <w:gridCol w:w="1211"/>
        <w:gridCol w:w="1212"/>
        <w:gridCol w:w="1212"/>
        <w:gridCol w:w="1210"/>
      </w:tblGrid>
      <w:tr w:rsidR="003D4717" w:rsidRPr="004B3751" w14:paraId="36DEAE95" w14:textId="77777777" w:rsidTr="003D4717">
        <w:trPr>
          <w:trHeight w:val="567"/>
        </w:trPr>
        <w:tc>
          <w:tcPr>
            <w:tcW w:w="2565" w:type="pct"/>
            <w:shd w:val="clear" w:color="auto" w:fill="D9D9D9" w:themeFill="background1" w:themeFillShade="D9"/>
            <w:vAlign w:val="center"/>
          </w:tcPr>
          <w:p w14:paraId="32F6A29E" w14:textId="77777777" w:rsidR="003D4717" w:rsidRPr="004B3751" w:rsidRDefault="003D4717" w:rsidP="003D4717">
            <w:pPr>
              <w:rPr>
                <w:b/>
                <w:sz w:val="24"/>
              </w:rPr>
            </w:pPr>
            <w:r w:rsidRPr="004B3751">
              <w:rPr>
                <w:b/>
                <w:sz w:val="24"/>
              </w:rPr>
              <w:t>Indicator</w:t>
            </w:r>
          </w:p>
        </w:tc>
        <w:tc>
          <w:tcPr>
            <w:tcW w:w="609" w:type="pct"/>
            <w:shd w:val="clear" w:color="auto" w:fill="D9D9D9" w:themeFill="background1" w:themeFillShade="D9"/>
          </w:tcPr>
          <w:p w14:paraId="5389D268" w14:textId="77777777" w:rsidR="003D4717" w:rsidRDefault="003D4717" w:rsidP="003D4717">
            <w:pPr>
              <w:jc w:val="center"/>
              <w:rPr>
                <w:b/>
                <w:sz w:val="24"/>
              </w:rPr>
            </w:pPr>
            <w:r>
              <w:rPr>
                <w:b/>
                <w:sz w:val="24"/>
              </w:rPr>
              <w:t>Q1</w:t>
            </w:r>
          </w:p>
          <w:p w14:paraId="16D96E25" w14:textId="6959BF3D" w:rsidR="003D4717" w:rsidRPr="004B3751" w:rsidRDefault="003D4717" w:rsidP="003D4717">
            <w:pPr>
              <w:jc w:val="center"/>
              <w:rPr>
                <w:b/>
                <w:sz w:val="24"/>
              </w:rPr>
            </w:pPr>
            <w:r>
              <w:rPr>
                <w:b/>
                <w:sz w:val="24"/>
              </w:rPr>
              <w:t>2021/22</w:t>
            </w:r>
          </w:p>
        </w:tc>
        <w:tc>
          <w:tcPr>
            <w:tcW w:w="609" w:type="pct"/>
            <w:shd w:val="clear" w:color="auto" w:fill="D9D9D9" w:themeFill="background1" w:themeFillShade="D9"/>
          </w:tcPr>
          <w:p w14:paraId="330A70BC" w14:textId="77777777" w:rsidR="003D4717" w:rsidRDefault="003D4717" w:rsidP="003D4717">
            <w:pPr>
              <w:jc w:val="center"/>
              <w:rPr>
                <w:b/>
                <w:sz w:val="24"/>
              </w:rPr>
            </w:pPr>
            <w:r>
              <w:rPr>
                <w:b/>
                <w:sz w:val="24"/>
              </w:rPr>
              <w:t>Q2</w:t>
            </w:r>
          </w:p>
          <w:p w14:paraId="2E63428E" w14:textId="3293B384" w:rsidR="003D4717" w:rsidRPr="004B3751" w:rsidRDefault="003D4717" w:rsidP="003D4717">
            <w:pPr>
              <w:jc w:val="center"/>
              <w:rPr>
                <w:b/>
                <w:sz w:val="24"/>
              </w:rPr>
            </w:pPr>
            <w:r>
              <w:rPr>
                <w:b/>
                <w:sz w:val="24"/>
              </w:rPr>
              <w:t>2021/22</w:t>
            </w:r>
          </w:p>
        </w:tc>
        <w:tc>
          <w:tcPr>
            <w:tcW w:w="609" w:type="pct"/>
            <w:shd w:val="clear" w:color="auto" w:fill="D9D9D9" w:themeFill="background1" w:themeFillShade="D9"/>
          </w:tcPr>
          <w:p w14:paraId="675A92E9" w14:textId="77777777" w:rsidR="003D4717" w:rsidRDefault="003D4717" w:rsidP="003D4717">
            <w:pPr>
              <w:jc w:val="center"/>
              <w:rPr>
                <w:b/>
                <w:sz w:val="24"/>
              </w:rPr>
            </w:pPr>
            <w:r>
              <w:rPr>
                <w:b/>
                <w:sz w:val="24"/>
              </w:rPr>
              <w:t>Q3</w:t>
            </w:r>
          </w:p>
          <w:p w14:paraId="30FD1582" w14:textId="18C2EB2F" w:rsidR="003D4717" w:rsidRPr="004B3751" w:rsidRDefault="003D4717" w:rsidP="003D4717">
            <w:pPr>
              <w:jc w:val="center"/>
              <w:rPr>
                <w:b/>
                <w:sz w:val="24"/>
              </w:rPr>
            </w:pPr>
            <w:r>
              <w:rPr>
                <w:b/>
                <w:sz w:val="24"/>
              </w:rPr>
              <w:t xml:space="preserve">2021/22 </w:t>
            </w:r>
          </w:p>
        </w:tc>
        <w:tc>
          <w:tcPr>
            <w:tcW w:w="609" w:type="pct"/>
            <w:shd w:val="clear" w:color="auto" w:fill="D9D9D9" w:themeFill="background1" w:themeFillShade="D9"/>
          </w:tcPr>
          <w:p w14:paraId="676084FA" w14:textId="77777777" w:rsidR="003D4717" w:rsidRDefault="003D4717" w:rsidP="003D4717">
            <w:pPr>
              <w:jc w:val="center"/>
              <w:rPr>
                <w:b/>
                <w:sz w:val="24"/>
              </w:rPr>
            </w:pPr>
            <w:r>
              <w:rPr>
                <w:b/>
                <w:sz w:val="24"/>
              </w:rPr>
              <w:t>Q4</w:t>
            </w:r>
          </w:p>
          <w:p w14:paraId="7F7A24EC" w14:textId="677A6E70" w:rsidR="003D4717" w:rsidRPr="004B3751" w:rsidRDefault="003D4717" w:rsidP="003D4717">
            <w:pPr>
              <w:jc w:val="center"/>
              <w:rPr>
                <w:b/>
                <w:sz w:val="24"/>
              </w:rPr>
            </w:pPr>
            <w:r>
              <w:rPr>
                <w:b/>
                <w:sz w:val="24"/>
              </w:rPr>
              <w:t>2021/22</w:t>
            </w:r>
          </w:p>
        </w:tc>
      </w:tr>
      <w:tr w:rsidR="003D4717" w:rsidRPr="004B3751" w14:paraId="7F9011E2" w14:textId="77777777" w:rsidTr="003D4717">
        <w:trPr>
          <w:trHeight w:val="567"/>
        </w:trPr>
        <w:tc>
          <w:tcPr>
            <w:tcW w:w="2565" w:type="pct"/>
            <w:vAlign w:val="center"/>
          </w:tcPr>
          <w:p w14:paraId="17DC53A3" w14:textId="77777777" w:rsidR="003D4717" w:rsidRPr="004B3751" w:rsidRDefault="003D4717" w:rsidP="003D4717">
            <w:pPr>
              <w:rPr>
                <w:sz w:val="24"/>
              </w:rPr>
            </w:pPr>
            <w:r w:rsidRPr="004B3751">
              <w:rPr>
                <w:sz w:val="24"/>
              </w:rPr>
              <w:t>Summary Hospital Mortality Indicator (as reported in the IPR)</w:t>
            </w:r>
          </w:p>
        </w:tc>
        <w:tc>
          <w:tcPr>
            <w:tcW w:w="609" w:type="pct"/>
            <w:vAlign w:val="center"/>
          </w:tcPr>
          <w:p w14:paraId="3966E118" w14:textId="08C52B31" w:rsidR="003D4717" w:rsidRPr="004B3751" w:rsidRDefault="003D4717" w:rsidP="003D4717">
            <w:pPr>
              <w:jc w:val="center"/>
              <w:rPr>
                <w:sz w:val="24"/>
              </w:rPr>
            </w:pPr>
            <w:r>
              <w:rPr>
                <w:sz w:val="24"/>
              </w:rPr>
              <w:t>0</w:t>
            </w:r>
          </w:p>
        </w:tc>
        <w:tc>
          <w:tcPr>
            <w:tcW w:w="609" w:type="pct"/>
            <w:vAlign w:val="center"/>
          </w:tcPr>
          <w:p w14:paraId="3AD62CDC" w14:textId="0F16A45C" w:rsidR="003D4717" w:rsidRPr="004B3751" w:rsidRDefault="003D4717" w:rsidP="003D4717">
            <w:pPr>
              <w:jc w:val="center"/>
              <w:rPr>
                <w:sz w:val="24"/>
              </w:rPr>
            </w:pPr>
            <w:r>
              <w:rPr>
                <w:sz w:val="24"/>
              </w:rPr>
              <w:t>0</w:t>
            </w:r>
          </w:p>
        </w:tc>
        <w:tc>
          <w:tcPr>
            <w:tcW w:w="609" w:type="pct"/>
            <w:vAlign w:val="center"/>
          </w:tcPr>
          <w:p w14:paraId="4583D747" w14:textId="72AC21AE" w:rsidR="003D4717" w:rsidRPr="004B3751" w:rsidRDefault="003D4717" w:rsidP="003D4717">
            <w:pPr>
              <w:jc w:val="center"/>
              <w:rPr>
                <w:sz w:val="24"/>
              </w:rPr>
            </w:pPr>
            <w:r>
              <w:rPr>
                <w:sz w:val="24"/>
              </w:rPr>
              <w:t>0</w:t>
            </w:r>
          </w:p>
        </w:tc>
        <w:tc>
          <w:tcPr>
            <w:tcW w:w="609" w:type="pct"/>
            <w:vAlign w:val="center"/>
          </w:tcPr>
          <w:p w14:paraId="3112420E" w14:textId="5EEBBC7E" w:rsidR="003D4717" w:rsidRPr="004B3751" w:rsidRDefault="003D4717" w:rsidP="003D4717">
            <w:pPr>
              <w:jc w:val="center"/>
              <w:rPr>
                <w:sz w:val="24"/>
              </w:rPr>
            </w:pPr>
            <w:r>
              <w:rPr>
                <w:sz w:val="24"/>
              </w:rPr>
              <w:t>0</w:t>
            </w:r>
          </w:p>
        </w:tc>
      </w:tr>
      <w:tr w:rsidR="003D4717" w:rsidRPr="004B3751" w14:paraId="5DA054D4" w14:textId="77777777" w:rsidTr="003D4717">
        <w:trPr>
          <w:trHeight w:val="567"/>
        </w:trPr>
        <w:tc>
          <w:tcPr>
            <w:tcW w:w="2565" w:type="pct"/>
            <w:vAlign w:val="center"/>
          </w:tcPr>
          <w:p w14:paraId="550AF9FF" w14:textId="77777777" w:rsidR="003D4717" w:rsidRPr="004B3751" w:rsidRDefault="003D4717" w:rsidP="003D4717">
            <w:pPr>
              <w:rPr>
                <w:sz w:val="24"/>
              </w:rPr>
            </w:pPr>
            <w:r w:rsidRPr="004B3751">
              <w:rPr>
                <w:sz w:val="24"/>
              </w:rPr>
              <w:t>Number of deaths that fall within the scope of the learning from deaths policy (see annex 1)</w:t>
            </w:r>
          </w:p>
        </w:tc>
        <w:tc>
          <w:tcPr>
            <w:tcW w:w="609" w:type="pct"/>
            <w:vAlign w:val="center"/>
          </w:tcPr>
          <w:p w14:paraId="41A59A18" w14:textId="5094FC42" w:rsidR="003D4717" w:rsidRPr="004B3751" w:rsidRDefault="003D4717" w:rsidP="003D4717">
            <w:pPr>
              <w:jc w:val="center"/>
              <w:rPr>
                <w:sz w:val="24"/>
              </w:rPr>
            </w:pPr>
            <w:r>
              <w:rPr>
                <w:sz w:val="24"/>
              </w:rPr>
              <w:t>0</w:t>
            </w:r>
          </w:p>
        </w:tc>
        <w:tc>
          <w:tcPr>
            <w:tcW w:w="609" w:type="pct"/>
            <w:vAlign w:val="center"/>
          </w:tcPr>
          <w:p w14:paraId="0915622A" w14:textId="7E9E471D" w:rsidR="003D4717" w:rsidRPr="004B3751" w:rsidRDefault="003D4717" w:rsidP="003D4717">
            <w:pPr>
              <w:jc w:val="center"/>
              <w:rPr>
                <w:sz w:val="24"/>
              </w:rPr>
            </w:pPr>
            <w:r>
              <w:rPr>
                <w:sz w:val="24"/>
              </w:rPr>
              <w:t>0</w:t>
            </w:r>
          </w:p>
        </w:tc>
        <w:tc>
          <w:tcPr>
            <w:tcW w:w="609" w:type="pct"/>
            <w:vAlign w:val="center"/>
          </w:tcPr>
          <w:p w14:paraId="146397C3" w14:textId="191B2D42" w:rsidR="003D4717" w:rsidRPr="004B3751" w:rsidRDefault="003D4717" w:rsidP="003D4717">
            <w:pPr>
              <w:jc w:val="center"/>
              <w:rPr>
                <w:sz w:val="24"/>
              </w:rPr>
            </w:pPr>
            <w:r>
              <w:rPr>
                <w:sz w:val="24"/>
              </w:rPr>
              <w:t>0</w:t>
            </w:r>
          </w:p>
        </w:tc>
        <w:tc>
          <w:tcPr>
            <w:tcW w:w="609" w:type="pct"/>
            <w:vAlign w:val="center"/>
          </w:tcPr>
          <w:p w14:paraId="11B28506" w14:textId="14AB06A4" w:rsidR="003D4717" w:rsidRPr="004B3751" w:rsidRDefault="003D4717" w:rsidP="003D4717">
            <w:pPr>
              <w:jc w:val="center"/>
              <w:rPr>
                <w:sz w:val="24"/>
              </w:rPr>
            </w:pPr>
            <w:r>
              <w:rPr>
                <w:sz w:val="24"/>
              </w:rPr>
              <w:t>1</w:t>
            </w:r>
          </w:p>
        </w:tc>
      </w:tr>
      <w:tr w:rsidR="003D4717" w:rsidRPr="004B3751" w14:paraId="12CF8F8A" w14:textId="77777777" w:rsidTr="003D4717">
        <w:trPr>
          <w:trHeight w:val="567"/>
        </w:trPr>
        <w:tc>
          <w:tcPr>
            <w:tcW w:w="2565" w:type="pct"/>
            <w:vAlign w:val="center"/>
          </w:tcPr>
          <w:p w14:paraId="6AE31F2E" w14:textId="741AA67D" w:rsidR="003D4717" w:rsidRPr="004B3751" w:rsidRDefault="003D4717" w:rsidP="003D4717">
            <w:pPr>
              <w:rPr>
                <w:sz w:val="24"/>
              </w:rPr>
            </w:pPr>
            <w:r w:rsidRPr="004B3751">
              <w:rPr>
                <w:sz w:val="24"/>
              </w:rPr>
              <w:t xml:space="preserve">% </w:t>
            </w:r>
            <w:proofErr w:type="gramStart"/>
            <w:r w:rsidRPr="004B3751">
              <w:rPr>
                <w:sz w:val="24"/>
              </w:rPr>
              <w:t>of</w:t>
            </w:r>
            <w:proofErr w:type="gramEnd"/>
            <w:r w:rsidRPr="004B3751">
              <w:rPr>
                <w:sz w:val="24"/>
              </w:rPr>
              <w:t xml:space="preserve"> cases reviewed under the structured judgement review (SJR) methodology/</w:t>
            </w:r>
            <w:r>
              <w:rPr>
                <w:sz w:val="24"/>
              </w:rPr>
              <w:t xml:space="preserve"> </w:t>
            </w:r>
            <w:r w:rsidRPr="004B3751">
              <w:rPr>
                <w:sz w:val="24"/>
              </w:rPr>
              <w:t xml:space="preserve">reviewed by the Serious Incident </w:t>
            </w:r>
            <w:r w:rsidR="00A63D26">
              <w:rPr>
                <w:sz w:val="24"/>
              </w:rPr>
              <w:t xml:space="preserve">(SI) </w:t>
            </w:r>
            <w:r w:rsidRPr="004B3751">
              <w:rPr>
                <w:sz w:val="24"/>
              </w:rPr>
              <w:t>panel</w:t>
            </w:r>
          </w:p>
        </w:tc>
        <w:tc>
          <w:tcPr>
            <w:tcW w:w="609" w:type="pct"/>
            <w:vAlign w:val="center"/>
          </w:tcPr>
          <w:p w14:paraId="667AE3E7" w14:textId="42A3EB0F" w:rsidR="003D4717" w:rsidRPr="004B3751" w:rsidRDefault="003D4717" w:rsidP="003D4717">
            <w:pPr>
              <w:jc w:val="center"/>
              <w:rPr>
                <w:sz w:val="24"/>
              </w:rPr>
            </w:pPr>
            <w:r>
              <w:rPr>
                <w:sz w:val="24"/>
              </w:rPr>
              <w:t>N/A</w:t>
            </w:r>
          </w:p>
        </w:tc>
        <w:tc>
          <w:tcPr>
            <w:tcW w:w="609" w:type="pct"/>
            <w:vAlign w:val="center"/>
          </w:tcPr>
          <w:p w14:paraId="138604A4" w14:textId="257D6D20" w:rsidR="003D4717" w:rsidRPr="004B3751" w:rsidRDefault="003D4717" w:rsidP="003D4717">
            <w:pPr>
              <w:jc w:val="center"/>
              <w:rPr>
                <w:sz w:val="24"/>
              </w:rPr>
            </w:pPr>
            <w:r>
              <w:rPr>
                <w:sz w:val="24"/>
              </w:rPr>
              <w:t>N/A</w:t>
            </w:r>
          </w:p>
        </w:tc>
        <w:tc>
          <w:tcPr>
            <w:tcW w:w="609" w:type="pct"/>
            <w:vAlign w:val="center"/>
          </w:tcPr>
          <w:p w14:paraId="176CB463" w14:textId="57D033D3" w:rsidR="003D4717" w:rsidRPr="004B3751" w:rsidRDefault="003D4717" w:rsidP="003D4717">
            <w:pPr>
              <w:jc w:val="center"/>
              <w:rPr>
                <w:sz w:val="24"/>
              </w:rPr>
            </w:pPr>
            <w:r>
              <w:rPr>
                <w:sz w:val="24"/>
              </w:rPr>
              <w:t>N/A</w:t>
            </w:r>
          </w:p>
        </w:tc>
        <w:tc>
          <w:tcPr>
            <w:tcW w:w="609" w:type="pct"/>
            <w:vAlign w:val="center"/>
          </w:tcPr>
          <w:p w14:paraId="5335169D" w14:textId="002A8564" w:rsidR="003D4717" w:rsidRPr="004B3751" w:rsidRDefault="003D4717" w:rsidP="003D4717">
            <w:pPr>
              <w:jc w:val="center"/>
              <w:rPr>
                <w:sz w:val="24"/>
              </w:rPr>
            </w:pPr>
            <w:r>
              <w:rPr>
                <w:sz w:val="24"/>
              </w:rPr>
              <w:t>1</w:t>
            </w:r>
          </w:p>
        </w:tc>
      </w:tr>
      <w:tr w:rsidR="003D4717" w:rsidRPr="004B3751" w14:paraId="777069EE" w14:textId="77777777" w:rsidTr="003D4717">
        <w:trPr>
          <w:trHeight w:val="567"/>
        </w:trPr>
        <w:tc>
          <w:tcPr>
            <w:tcW w:w="2565" w:type="pct"/>
            <w:vAlign w:val="center"/>
          </w:tcPr>
          <w:p w14:paraId="3FC26F6F" w14:textId="77777777" w:rsidR="003D4717" w:rsidRPr="004B3751" w:rsidRDefault="003D4717" w:rsidP="003D4717">
            <w:pPr>
              <w:rPr>
                <w:sz w:val="24"/>
              </w:rPr>
            </w:pPr>
            <w:r w:rsidRPr="004B3751">
              <w:rPr>
                <w:sz w:val="24"/>
              </w:rPr>
              <w:t>Deaths considered likely to have been avoidable</w:t>
            </w:r>
          </w:p>
        </w:tc>
        <w:tc>
          <w:tcPr>
            <w:tcW w:w="609" w:type="pct"/>
            <w:vAlign w:val="center"/>
          </w:tcPr>
          <w:p w14:paraId="7F43F098" w14:textId="6960FF44" w:rsidR="003D4717" w:rsidRPr="004B3751" w:rsidRDefault="003D4717" w:rsidP="003D4717">
            <w:pPr>
              <w:jc w:val="center"/>
              <w:rPr>
                <w:sz w:val="24"/>
              </w:rPr>
            </w:pPr>
            <w:r>
              <w:rPr>
                <w:sz w:val="24"/>
              </w:rPr>
              <w:t>N/A</w:t>
            </w:r>
          </w:p>
        </w:tc>
        <w:tc>
          <w:tcPr>
            <w:tcW w:w="609" w:type="pct"/>
            <w:vAlign w:val="center"/>
          </w:tcPr>
          <w:p w14:paraId="6C71F0D3" w14:textId="492DB6D5" w:rsidR="003D4717" w:rsidRPr="004B3751" w:rsidRDefault="003D4717" w:rsidP="003D4717">
            <w:pPr>
              <w:jc w:val="center"/>
              <w:rPr>
                <w:sz w:val="24"/>
              </w:rPr>
            </w:pPr>
            <w:r>
              <w:rPr>
                <w:sz w:val="24"/>
              </w:rPr>
              <w:t>N/A</w:t>
            </w:r>
          </w:p>
        </w:tc>
        <w:tc>
          <w:tcPr>
            <w:tcW w:w="609" w:type="pct"/>
            <w:vAlign w:val="center"/>
          </w:tcPr>
          <w:p w14:paraId="6A30C75C" w14:textId="79CBEF21" w:rsidR="003D4717" w:rsidRPr="004B3751" w:rsidRDefault="003D4717" w:rsidP="003D4717">
            <w:pPr>
              <w:jc w:val="center"/>
              <w:rPr>
                <w:sz w:val="24"/>
              </w:rPr>
            </w:pPr>
            <w:r>
              <w:rPr>
                <w:sz w:val="24"/>
              </w:rPr>
              <w:t>N/A</w:t>
            </w:r>
          </w:p>
        </w:tc>
        <w:tc>
          <w:tcPr>
            <w:tcW w:w="609" w:type="pct"/>
            <w:vAlign w:val="center"/>
          </w:tcPr>
          <w:p w14:paraId="323045D0" w14:textId="78C835AD" w:rsidR="003D4717" w:rsidRPr="004B3751" w:rsidRDefault="00C035F7" w:rsidP="003D4717">
            <w:pPr>
              <w:jc w:val="center"/>
              <w:rPr>
                <w:sz w:val="24"/>
              </w:rPr>
            </w:pPr>
            <w:r>
              <w:rPr>
                <w:sz w:val="24"/>
              </w:rPr>
              <w:t>0</w:t>
            </w:r>
          </w:p>
        </w:tc>
      </w:tr>
    </w:tbl>
    <w:p w14:paraId="6A269372" w14:textId="77777777" w:rsidR="00897B0F" w:rsidRPr="00897B0F" w:rsidRDefault="00897B0F" w:rsidP="00897B0F">
      <w:pPr>
        <w:spacing w:after="120" w:line="264" w:lineRule="auto"/>
        <w:rPr>
          <w:b/>
          <w:sz w:val="8"/>
          <w:szCs w:val="8"/>
        </w:rPr>
      </w:pPr>
    </w:p>
    <w:p w14:paraId="4EE914BF" w14:textId="5A2C2224" w:rsidR="009F6A66" w:rsidRPr="00897B0F" w:rsidRDefault="009F6A66" w:rsidP="00897B0F">
      <w:pPr>
        <w:spacing w:after="120" w:line="264" w:lineRule="auto"/>
        <w:rPr>
          <w:b/>
          <w:sz w:val="24"/>
          <w:szCs w:val="24"/>
        </w:rPr>
      </w:pPr>
      <w:r w:rsidRPr="00897B0F">
        <w:rPr>
          <w:b/>
          <w:sz w:val="24"/>
          <w:szCs w:val="24"/>
        </w:rPr>
        <w:t>Learning</w:t>
      </w:r>
      <w:r w:rsidR="006443D2" w:rsidRPr="00897B0F">
        <w:rPr>
          <w:b/>
          <w:sz w:val="24"/>
          <w:szCs w:val="24"/>
        </w:rPr>
        <w:t xml:space="preserve"> and improvement opportunities identified</w:t>
      </w:r>
      <w:r w:rsidR="006A7B85" w:rsidRPr="00897B0F">
        <w:rPr>
          <w:b/>
          <w:sz w:val="24"/>
          <w:szCs w:val="24"/>
        </w:rPr>
        <w:t xml:space="preserve"> during Q</w:t>
      </w:r>
      <w:r w:rsidR="003D4717" w:rsidRPr="00897B0F">
        <w:rPr>
          <w:b/>
          <w:sz w:val="24"/>
          <w:szCs w:val="24"/>
        </w:rPr>
        <w:t>4</w:t>
      </w:r>
    </w:p>
    <w:p w14:paraId="1ED975F0" w14:textId="30F5C423" w:rsidR="00C035F7" w:rsidRPr="00897B0F" w:rsidRDefault="00A63D26" w:rsidP="00897B0F">
      <w:pPr>
        <w:spacing w:after="120" w:line="264" w:lineRule="auto"/>
        <w:rPr>
          <w:b/>
          <w:sz w:val="24"/>
          <w:szCs w:val="24"/>
        </w:rPr>
      </w:pPr>
      <w:r>
        <w:rPr>
          <w:bCs/>
          <w:sz w:val="24"/>
          <w:szCs w:val="24"/>
        </w:rPr>
        <w:t>An SI</w:t>
      </w:r>
      <w:r w:rsidR="00C035F7" w:rsidRPr="00897B0F">
        <w:rPr>
          <w:bCs/>
          <w:sz w:val="24"/>
          <w:szCs w:val="24"/>
        </w:rPr>
        <w:t xml:space="preserve"> was declared in February 2022, following the death of a patient </w:t>
      </w:r>
      <w:r w:rsidR="00897B0F" w:rsidRPr="00897B0F">
        <w:rPr>
          <w:bCs/>
          <w:sz w:val="24"/>
          <w:szCs w:val="24"/>
        </w:rPr>
        <w:t>who had attended Northwick Park as an outpatient</w:t>
      </w:r>
      <w:r w:rsidR="00C035F7" w:rsidRPr="00897B0F">
        <w:rPr>
          <w:bCs/>
          <w:sz w:val="24"/>
          <w:szCs w:val="24"/>
        </w:rPr>
        <w:t xml:space="preserve">. An after action review (AAR) was undertaken </w:t>
      </w:r>
      <w:r w:rsidR="00EF0AB7" w:rsidRPr="00897B0F">
        <w:rPr>
          <w:bCs/>
          <w:sz w:val="24"/>
          <w:szCs w:val="24"/>
        </w:rPr>
        <w:t>3 days after the event</w:t>
      </w:r>
      <w:r w:rsidR="00C035F7" w:rsidRPr="00897B0F">
        <w:rPr>
          <w:bCs/>
          <w:sz w:val="24"/>
          <w:szCs w:val="24"/>
        </w:rPr>
        <w:t xml:space="preserve"> and the outcome of this inform</w:t>
      </w:r>
      <w:r w:rsidR="00412114" w:rsidRPr="00897B0F">
        <w:rPr>
          <w:bCs/>
          <w:sz w:val="24"/>
          <w:szCs w:val="24"/>
        </w:rPr>
        <w:t>ed</w:t>
      </w:r>
      <w:r w:rsidR="00C035F7" w:rsidRPr="00897B0F">
        <w:rPr>
          <w:bCs/>
          <w:sz w:val="24"/>
          <w:szCs w:val="24"/>
        </w:rPr>
        <w:t xml:space="preserve"> the SI investigation. </w:t>
      </w:r>
      <w:r w:rsidR="00872451" w:rsidRPr="00897B0F">
        <w:rPr>
          <w:bCs/>
          <w:sz w:val="24"/>
          <w:szCs w:val="24"/>
        </w:rPr>
        <w:t xml:space="preserve">The AAR and interviews conducted as part of the SI investigation process </w:t>
      </w:r>
      <w:r w:rsidR="00412114" w:rsidRPr="00897B0F">
        <w:rPr>
          <w:bCs/>
          <w:sz w:val="24"/>
          <w:szCs w:val="24"/>
        </w:rPr>
        <w:t>were</w:t>
      </w:r>
      <w:r w:rsidR="00872451" w:rsidRPr="00897B0F">
        <w:rPr>
          <w:bCs/>
          <w:sz w:val="24"/>
          <w:szCs w:val="24"/>
        </w:rPr>
        <w:t xml:space="preserve"> used </w:t>
      </w:r>
      <w:r w:rsidR="00EB0841" w:rsidRPr="00897B0F">
        <w:rPr>
          <w:bCs/>
          <w:sz w:val="24"/>
          <w:szCs w:val="24"/>
        </w:rPr>
        <w:t xml:space="preserve">as an opportunity </w:t>
      </w:r>
      <w:r w:rsidR="00872451" w:rsidRPr="00897B0F">
        <w:rPr>
          <w:bCs/>
          <w:sz w:val="24"/>
          <w:szCs w:val="24"/>
        </w:rPr>
        <w:t>to</w:t>
      </w:r>
      <w:r w:rsidR="00EB0841" w:rsidRPr="00897B0F">
        <w:rPr>
          <w:bCs/>
          <w:sz w:val="24"/>
          <w:szCs w:val="24"/>
        </w:rPr>
        <w:t xml:space="preserve"> confirm with staff the actions that should have been taken on the day.</w:t>
      </w:r>
      <w:r w:rsidR="00872451" w:rsidRPr="00897B0F">
        <w:rPr>
          <w:bCs/>
          <w:sz w:val="24"/>
          <w:szCs w:val="24"/>
        </w:rPr>
        <w:t xml:space="preserve"> </w:t>
      </w:r>
      <w:r w:rsidR="00EB0841" w:rsidRPr="00897B0F">
        <w:rPr>
          <w:bCs/>
          <w:sz w:val="24"/>
          <w:szCs w:val="24"/>
        </w:rPr>
        <w:t xml:space="preserve">A </w:t>
      </w:r>
      <w:r w:rsidR="00412114" w:rsidRPr="00897B0F">
        <w:rPr>
          <w:bCs/>
          <w:sz w:val="24"/>
          <w:szCs w:val="24"/>
        </w:rPr>
        <w:t>S</w:t>
      </w:r>
      <w:r w:rsidR="00EB0841" w:rsidRPr="00897B0F">
        <w:rPr>
          <w:bCs/>
          <w:sz w:val="24"/>
          <w:szCs w:val="24"/>
        </w:rPr>
        <w:t xml:space="preserve">ection 42 </w:t>
      </w:r>
      <w:r w:rsidR="006541F8" w:rsidRPr="00897B0F">
        <w:rPr>
          <w:bCs/>
          <w:sz w:val="24"/>
          <w:szCs w:val="24"/>
        </w:rPr>
        <w:t xml:space="preserve">referral </w:t>
      </w:r>
      <w:r w:rsidR="00897B0F">
        <w:rPr>
          <w:bCs/>
          <w:sz w:val="24"/>
          <w:szCs w:val="24"/>
        </w:rPr>
        <w:t>w</w:t>
      </w:r>
      <w:r w:rsidR="006541F8" w:rsidRPr="00897B0F">
        <w:rPr>
          <w:bCs/>
          <w:sz w:val="24"/>
          <w:szCs w:val="24"/>
        </w:rPr>
        <w:t xml:space="preserve">as </w:t>
      </w:r>
      <w:r w:rsidR="00C10C66" w:rsidRPr="00897B0F">
        <w:rPr>
          <w:bCs/>
          <w:sz w:val="24"/>
          <w:szCs w:val="24"/>
        </w:rPr>
        <w:t>made,</w:t>
      </w:r>
      <w:r w:rsidR="006541F8" w:rsidRPr="00897B0F">
        <w:rPr>
          <w:bCs/>
          <w:sz w:val="24"/>
          <w:szCs w:val="24"/>
        </w:rPr>
        <w:t xml:space="preserve"> and this investigation</w:t>
      </w:r>
      <w:r>
        <w:rPr>
          <w:bCs/>
          <w:sz w:val="24"/>
          <w:szCs w:val="24"/>
        </w:rPr>
        <w:t xml:space="preserve"> (</w:t>
      </w:r>
      <w:r w:rsidR="006541F8" w:rsidRPr="00897B0F">
        <w:rPr>
          <w:bCs/>
          <w:sz w:val="24"/>
          <w:szCs w:val="24"/>
        </w:rPr>
        <w:t>led by an external stakeholder</w:t>
      </w:r>
      <w:r>
        <w:rPr>
          <w:bCs/>
          <w:sz w:val="24"/>
          <w:szCs w:val="24"/>
        </w:rPr>
        <w:t>)</w:t>
      </w:r>
      <w:r w:rsidR="006541F8" w:rsidRPr="00897B0F">
        <w:rPr>
          <w:bCs/>
          <w:sz w:val="24"/>
          <w:szCs w:val="24"/>
        </w:rPr>
        <w:t xml:space="preserve"> </w:t>
      </w:r>
      <w:r w:rsidR="00412114" w:rsidRPr="00897B0F">
        <w:rPr>
          <w:bCs/>
          <w:sz w:val="24"/>
          <w:szCs w:val="24"/>
        </w:rPr>
        <w:t>has</w:t>
      </w:r>
      <w:r w:rsidR="006541F8" w:rsidRPr="00897B0F">
        <w:rPr>
          <w:bCs/>
          <w:sz w:val="24"/>
          <w:szCs w:val="24"/>
        </w:rPr>
        <w:t xml:space="preserve"> run in parallel </w:t>
      </w:r>
      <w:r w:rsidR="00412114" w:rsidRPr="00897B0F">
        <w:rPr>
          <w:bCs/>
          <w:sz w:val="24"/>
          <w:szCs w:val="24"/>
        </w:rPr>
        <w:t>with</w:t>
      </w:r>
      <w:r w:rsidR="006541F8" w:rsidRPr="00897B0F">
        <w:rPr>
          <w:bCs/>
          <w:sz w:val="24"/>
          <w:szCs w:val="24"/>
        </w:rPr>
        <w:t xml:space="preserve"> the SI investigation. </w:t>
      </w:r>
      <w:r w:rsidR="009A199A" w:rsidRPr="00897B0F">
        <w:rPr>
          <w:bCs/>
          <w:sz w:val="24"/>
          <w:szCs w:val="24"/>
        </w:rPr>
        <w:t xml:space="preserve">The host trust supported the </w:t>
      </w:r>
      <w:r>
        <w:rPr>
          <w:bCs/>
          <w:sz w:val="24"/>
          <w:szCs w:val="24"/>
        </w:rPr>
        <w:t xml:space="preserve">trust </w:t>
      </w:r>
      <w:r w:rsidR="009A199A" w:rsidRPr="00897B0F">
        <w:rPr>
          <w:bCs/>
          <w:sz w:val="24"/>
          <w:szCs w:val="24"/>
        </w:rPr>
        <w:t>investigation through the provision of relevant information (e.g., access to CCTV).</w:t>
      </w:r>
      <w:r w:rsidR="00412114" w:rsidRPr="00897B0F">
        <w:rPr>
          <w:bCs/>
          <w:sz w:val="24"/>
          <w:szCs w:val="24"/>
        </w:rPr>
        <w:t xml:space="preserve"> The investigation into this incident concluded during Q1 </w:t>
      </w:r>
      <w:r>
        <w:rPr>
          <w:bCs/>
          <w:sz w:val="24"/>
          <w:szCs w:val="24"/>
        </w:rPr>
        <w:t xml:space="preserve">2022/23 </w:t>
      </w:r>
      <w:r w:rsidR="00412114" w:rsidRPr="00897B0F">
        <w:rPr>
          <w:bCs/>
          <w:sz w:val="24"/>
          <w:szCs w:val="24"/>
        </w:rPr>
        <w:t>and the learning</w:t>
      </w:r>
      <w:r w:rsidR="008D2AC0" w:rsidRPr="00897B0F">
        <w:rPr>
          <w:bCs/>
          <w:sz w:val="24"/>
          <w:szCs w:val="24"/>
        </w:rPr>
        <w:t xml:space="preserve"> </w:t>
      </w:r>
      <w:r>
        <w:rPr>
          <w:bCs/>
          <w:sz w:val="24"/>
          <w:szCs w:val="24"/>
        </w:rPr>
        <w:t>includes:</w:t>
      </w:r>
    </w:p>
    <w:p w14:paraId="2BBBAC7C" w14:textId="512178D2" w:rsidR="008D2AC0" w:rsidRPr="00897B0F" w:rsidRDefault="008D2AC0" w:rsidP="00897B0F">
      <w:pPr>
        <w:pStyle w:val="ListParagraph"/>
        <w:numPr>
          <w:ilvl w:val="0"/>
          <w:numId w:val="16"/>
        </w:numPr>
        <w:tabs>
          <w:tab w:val="left" w:pos="284"/>
        </w:tabs>
        <w:spacing w:after="120" w:line="264" w:lineRule="auto"/>
        <w:ind w:left="284" w:hanging="284"/>
        <w:rPr>
          <w:rFonts w:cstheme="minorHAnsi"/>
          <w:bCs/>
          <w:sz w:val="24"/>
          <w:szCs w:val="24"/>
        </w:rPr>
      </w:pPr>
      <w:r w:rsidRPr="00897B0F">
        <w:rPr>
          <w:rFonts w:cstheme="minorHAnsi"/>
          <w:bCs/>
          <w:sz w:val="24"/>
          <w:szCs w:val="24"/>
        </w:rPr>
        <w:t xml:space="preserve">A NEWS chart should be completed immediately for all patients who attend in poor health or who are recognised as starting to deteriorate. </w:t>
      </w:r>
    </w:p>
    <w:p w14:paraId="59D4EB2F" w14:textId="1066E7B9" w:rsidR="008D2AC0" w:rsidRPr="00897B0F" w:rsidRDefault="008D2AC0" w:rsidP="00897B0F">
      <w:pPr>
        <w:pStyle w:val="ListParagraph"/>
        <w:numPr>
          <w:ilvl w:val="0"/>
          <w:numId w:val="16"/>
        </w:numPr>
        <w:tabs>
          <w:tab w:val="left" w:pos="284"/>
        </w:tabs>
        <w:spacing w:after="120" w:line="264" w:lineRule="auto"/>
        <w:ind w:left="284" w:hanging="284"/>
        <w:rPr>
          <w:rFonts w:cstheme="minorHAnsi"/>
          <w:bCs/>
          <w:sz w:val="24"/>
          <w:szCs w:val="24"/>
        </w:rPr>
      </w:pPr>
      <w:r w:rsidRPr="00897B0F">
        <w:rPr>
          <w:rFonts w:cstheme="minorHAnsi"/>
          <w:bCs/>
          <w:sz w:val="24"/>
          <w:szCs w:val="24"/>
        </w:rPr>
        <w:t xml:space="preserve">Administrative staff should receive an orientation of the emergency call bells, telephones and cardiac arrest trolley as part of their local induction. </w:t>
      </w:r>
    </w:p>
    <w:p w14:paraId="76E137AA" w14:textId="77777777" w:rsidR="008D2AC0" w:rsidRPr="00897B0F" w:rsidRDefault="008D2AC0" w:rsidP="00897B0F">
      <w:pPr>
        <w:pStyle w:val="ListParagraph"/>
        <w:numPr>
          <w:ilvl w:val="0"/>
          <w:numId w:val="16"/>
        </w:numPr>
        <w:tabs>
          <w:tab w:val="left" w:pos="284"/>
        </w:tabs>
        <w:spacing w:after="120" w:line="264" w:lineRule="auto"/>
        <w:ind w:left="284" w:hanging="284"/>
        <w:rPr>
          <w:rFonts w:cstheme="minorHAnsi"/>
          <w:bCs/>
          <w:sz w:val="24"/>
          <w:szCs w:val="24"/>
        </w:rPr>
      </w:pPr>
      <w:r w:rsidRPr="00897B0F">
        <w:rPr>
          <w:rFonts w:cstheme="minorHAnsi"/>
          <w:bCs/>
          <w:sz w:val="24"/>
          <w:szCs w:val="24"/>
        </w:rPr>
        <w:t>It should be a mandatory requirement for administrative staff to undertake BLS training and know what to do in the event of an emergency.</w:t>
      </w:r>
    </w:p>
    <w:p w14:paraId="520CC47F" w14:textId="77777777" w:rsidR="008D2AC0" w:rsidRPr="00897B0F" w:rsidRDefault="008D2AC0" w:rsidP="00897B0F">
      <w:pPr>
        <w:pStyle w:val="ListParagraph"/>
        <w:numPr>
          <w:ilvl w:val="0"/>
          <w:numId w:val="16"/>
        </w:numPr>
        <w:tabs>
          <w:tab w:val="left" w:pos="284"/>
        </w:tabs>
        <w:spacing w:after="120" w:line="264" w:lineRule="auto"/>
        <w:ind w:left="284" w:hanging="284"/>
        <w:rPr>
          <w:rFonts w:cstheme="minorHAnsi"/>
          <w:bCs/>
          <w:sz w:val="24"/>
          <w:szCs w:val="24"/>
        </w:rPr>
      </w:pPr>
      <w:r w:rsidRPr="00897B0F">
        <w:rPr>
          <w:rFonts w:cstheme="minorHAnsi"/>
          <w:bCs/>
          <w:sz w:val="24"/>
          <w:szCs w:val="24"/>
        </w:rPr>
        <w:t>Registered staff, in a standalone ophthalmic facility, should undertake annual ILS training. At the very least there should be one member of the nursing team with ILS training on every shift.</w:t>
      </w:r>
    </w:p>
    <w:p w14:paraId="48B86908" w14:textId="79D59A3B" w:rsidR="008D2AC0" w:rsidRPr="00897B0F" w:rsidRDefault="008D2AC0" w:rsidP="00897B0F">
      <w:pPr>
        <w:pStyle w:val="ListParagraph"/>
        <w:numPr>
          <w:ilvl w:val="0"/>
          <w:numId w:val="17"/>
        </w:numPr>
        <w:tabs>
          <w:tab w:val="left" w:pos="284"/>
        </w:tabs>
        <w:spacing w:after="120" w:line="264" w:lineRule="auto"/>
        <w:ind w:left="284" w:hanging="284"/>
        <w:rPr>
          <w:rFonts w:cstheme="minorHAnsi"/>
          <w:bCs/>
          <w:sz w:val="24"/>
          <w:szCs w:val="24"/>
        </w:rPr>
      </w:pPr>
      <w:r w:rsidRPr="00897B0F">
        <w:rPr>
          <w:rFonts w:cstheme="minorHAnsi"/>
          <w:bCs/>
          <w:sz w:val="24"/>
          <w:szCs w:val="24"/>
        </w:rPr>
        <w:t xml:space="preserve">Clear leadership during a medical emergency is essential to ensure that the necessary equipment is made available promptly and optimum resuscitation conditions are achieved, including positioning of the patient. </w:t>
      </w:r>
    </w:p>
    <w:p w14:paraId="6DB98536" w14:textId="65A232B8" w:rsidR="00412114" w:rsidRPr="00897B0F" w:rsidRDefault="008D2AC0" w:rsidP="00897B0F">
      <w:pPr>
        <w:pStyle w:val="ListParagraph"/>
        <w:numPr>
          <w:ilvl w:val="0"/>
          <w:numId w:val="17"/>
        </w:numPr>
        <w:tabs>
          <w:tab w:val="left" w:pos="284"/>
        </w:tabs>
        <w:spacing w:after="120" w:line="264" w:lineRule="auto"/>
        <w:ind w:left="284" w:hanging="284"/>
        <w:rPr>
          <w:rFonts w:cstheme="minorHAnsi"/>
          <w:b/>
          <w:sz w:val="24"/>
          <w:szCs w:val="24"/>
        </w:rPr>
      </w:pPr>
      <w:r w:rsidRPr="00897B0F">
        <w:rPr>
          <w:rFonts w:cstheme="minorHAnsi"/>
          <w:bCs/>
          <w:sz w:val="24"/>
          <w:szCs w:val="24"/>
        </w:rPr>
        <w:t>Doctors need to participate in safety huddles.</w:t>
      </w:r>
    </w:p>
    <w:p w14:paraId="0F62DB3A" w14:textId="1C9B3C53" w:rsidR="002D4A49" w:rsidRPr="00897B0F" w:rsidRDefault="006359CC" w:rsidP="00897B0F">
      <w:pPr>
        <w:spacing w:after="120" w:line="264" w:lineRule="auto"/>
        <w:rPr>
          <w:b/>
          <w:sz w:val="24"/>
          <w:szCs w:val="24"/>
        </w:rPr>
      </w:pPr>
      <w:r w:rsidRPr="00897B0F">
        <w:rPr>
          <w:b/>
          <w:sz w:val="24"/>
          <w:szCs w:val="24"/>
        </w:rPr>
        <w:t>ME</w:t>
      </w:r>
      <w:r w:rsidR="0089248C" w:rsidRPr="00897B0F">
        <w:rPr>
          <w:b/>
          <w:sz w:val="24"/>
          <w:szCs w:val="24"/>
        </w:rPr>
        <w:t xml:space="preserve"> </w:t>
      </w:r>
      <w:r w:rsidR="00E346D9" w:rsidRPr="00897B0F">
        <w:rPr>
          <w:b/>
          <w:sz w:val="24"/>
          <w:szCs w:val="24"/>
        </w:rPr>
        <w:t>role</w:t>
      </w:r>
      <w:r w:rsidRPr="00897B0F">
        <w:rPr>
          <w:b/>
          <w:sz w:val="24"/>
          <w:szCs w:val="24"/>
        </w:rPr>
        <w:t xml:space="preserve"> </w:t>
      </w:r>
      <w:r w:rsidR="004E68E6" w:rsidRPr="00897B0F">
        <w:rPr>
          <w:b/>
          <w:sz w:val="24"/>
          <w:szCs w:val="24"/>
        </w:rPr>
        <w:t>up</w:t>
      </w:r>
      <w:r w:rsidRPr="00897B0F">
        <w:rPr>
          <w:b/>
          <w:sz w:val="24"/>
          <w:szCs w:val="24"/>
        </w:rPr>
        <w:t>date</w:t>
      </w:r>
    </w:p>
    <w:p w14:paraId="51CD175D" w14:textId="6210109B" w:rsidR="005B3058" w:rsidRPr="00897B0F" w:rsidRDefault="00CE71C5" w:rsidP="00897B0F">
      <w:pPr>
        <w:spacing w:after="120" w:line="264" w:lineRule="auto"/>
        <w:rPr>
          <w:sz w:val="24"/>
          <w:szCs w:val="24"/>
        </w:rPr>
      </w:pPr>
      <w:r>
        <w:rPr>
          <w:sz w:val="24"/>
          <w:szCs w:val="24"/>
        </w:rPr>
        <w:t>Two</w:t>
      </w:r>
      <w:r w:rsidR="00F56CD8" w:rsidRPr="00897B0F">
        <w:rPr>
          <w:sz w:val="24"/>
          <w:szCs w:val="24"/>
        </w:rPr>
        <w:t xml:space="preserve"> national medical examiner update</w:t>
      </w:r>
      <w:r w:rsidR="00C10C66">
        <w:rPr>
          <w:sz w:val="24"/>
          <w:szCs w:val="24"/>
        </w:rPr>
        <w:t>s</w:t>
      </w:r>
      <w:r w:rsidR="00F56CD8" w:rsidRPr="00897B0F">
        <w:rPr>
          <w:sz w:val="24"/>
          <w:szCs w:val="24"/>
        </w:rPr>
        <w:t xml:space="preserve"> </w:t>
      </w:r>
      <w:r w:rsidR="005B3058" w:rsidRPr="00897B0F">
        <w:rPr>
          <w:sz w:val="24"/>
          <w:szCs w:val="24"/>
        </w:rPr>
        <w:t>ha</w:t>
      </w:r>
      <w:r w:rsidR="00C10C66">
        <w:rPr>
          <w:sz w:val="24"/>
          <w:szCs w:val="24"/>
        </w:rPr>
        <w:t>ve</w:t>
      </w:r>
      <w:r w:rsidR="005B3058" w:rsidRPr="00897B0F">
        <w:rPr>
          <w:sz w:val="24"/>
          <w:szCs w:val="24"/>
        </w:rPr>
        <w:t xml:space="preserve"> been</w:t>
      </w:r>
      <w:r w:rsidR="00F56CD8" w:rsidRPr="00897B0F">
        <w:rPr>
          <w:sz w:val="24"/>
          <w:szCs w:val="24"/>
        </w:rPr>
        <w:t xml:space="preserve"> </w:t>
      </w:r>
      <w:r w:rsidR="006359CC" w:rsidRPr="00897B0F">
        <w:rPr>
          <w:sz w:val="24"/>
          <w:szCs w:val="24"/>
        </w:rPr>
        <w:t>published</w:t>
      </w:r>
      <w:r w:rsidR="00F56CD8" w:rsidRPr="00897B0F">
        <w:rPr>
          <w:sz w:val="24"/>
          <w:szCs w:val="24"/>
        </w:rPr>
        <w:t xml:space="preserve"> by </w:t>
      </w:r>
      <w:r w:rsidR="006359CC" w:rsidRPr="00897B0F">
        <w:rPr>
          <w:sz w:val="24"/>
          <w:szCs w:val="24"/>
        </w:rPr>
        <w:t xml:space="preserve">NHS England and </w:t>
      </w:r>
      <w:r w:rsidR="00F56CD8" w:rsidRPr="00897B0F">
        <w:rPr>
          <w:sz w:val="24"/>
          <w:szCs w:val="24"/>
        </w:rPr>
        <w:t>NHS Improvement</w:t>
      </w:r>
      <w:r w:rsidR="00B9357A" w:rsidRPr="00897B0F">
        <w:rPr>
          <w:sz w:val="24"/>
          <w:szCs w:val="24"/>
        </w:rPr>
        <w:t xml:space="preserve"> since the Q</w:t>
      </w:r>
      <w:r w:rsidR="003F635D" w:rsidRPr="00897B0F">
        <w:rPr>
          <w:sz w:val="24"/>
          <w:szCs w:val="24"/>
        </w:rPr>
        <w:t>3</w:t>
      </w:r>
      <w:r w:rsidR="00B9357A" w:rsidRPr="00897B0F">
        <w:rPr>
          <w:sz w:val="24"/>
          <w:szCs w:val="24"/>
        </w:rPr>
        <w:t xml:space="preserve"> report</w:t>
      </w:r>
      <w:r w:rsidR="005B3058" w:rsidRPr="00897B0F">
        <w:rPr>
          <w:sz w:val="24"/>
          <w:szCs w:val="24"/>
        </w:rPr>
        <w:t>:</w:t>
      </w:r>
    </w:p>
    <w:p w14:paraId="720947F2" w14:textId="53EB3189" w:rsidR="003F635D" w:rsidRPr="00C10C66" w:rsidRDefault="003F635D" w:rsidP="00897B0F">
      <w:pPr>
        <w:pStyle w:val="ListParagraph"/>
        <w:numPr>
          <w:ilvl w:val="0"/>
          <w:numId w:val="14"/>
        </w:numPr>
        <w:tabs>
          <w:tab w:val="left" w:pos="284"/>
        </w:tabs>
        <w:spacing w:after="120" w:line="264" w:lineRule="auto"/>
        <w:ind w:left="284" w:right="-794" w:hanging="284"/>
        <w:rPr>
          <w:rStyle w:val="Hyperlink"/>
          <w:color w:val="auto"/>
          <w:sz w:val="24"/>
          <w:szCs w:val="24"/>
          <w:u w:val="none"/>
        </w:rPr>
      </w:pPr>
      <w:r w:rsidRPr="00897B0F">
        <w:rPr>
          <w:sz w:val="24"/>
          <w:szCs w:val="24"/>
        </w:rPr>
        <w:t>February 2022</w:t>
      </w:r>
      <w:r w:rsidR="005B3058" w:rsidRPr="00897B0F">
        <w:rPr>
          <w:sz w:val="24"/>
          <w:szCs w:val="24"/>
        </w:rPr>
        <w:t xml:space="preserve"> </w:t>
      </w:r>
      <w:hyperlink r:id="rId9" w:history="1">
        <w:r w:rsidRPr="00897B0F">
          <w:rPr>
            <w:rStyle w:val="Hyperlink"/>
            <w:sz w:val="24"/>
            <w:szCs w:val="24"/>
          </w:rPr>
          <w:t>https://www.england.nhs.uk/wp-content/uploads/2019/05/National-medical-examiner-bulletin-February-2022.pdf</w:t>
        </w:r>
      </w:hyperlink>
    </w:p>
    <w:p w14:paraId="2C6F3DBC" w14:textId="463A9304" w:rsidR="00F56CD8" w:rsidRPr="00C10C66" w:rsidRDefault="00C10C66" w:rsidP="00C66EB5">
      <w:pPr>
        <w:pStyle w:val="ListParagraph"/>
        <w:numPr>
          <w:ilvl w:val="0"/>
          <w:numId w:val="14"/>
        </w:numPr>
        <w:tabs>
          <w:tab w:val="left" w:pos="284"/>
        </w:tabs>
        <w:spacing w:after="0" w:line="264" w:lineRule="auto"/>
        <w:ind w:left="284" w:right="-794" w:hanging="284"/>
        <w:rPr>
          <w:sz w:val="24"/>
        </w:rPr>
      </w:pPr>
      <w:r w:rsidRPr="00C10C66">
        <w:rPr>
          <w:sz w:val="24"/>
          <w:szCs w:val="24"/>
        </w:rPr>
        <w:t xml:space="preserve">April 2022 </w:t>
      </w:r>
      <w:hyperlink r:id="rId10" w:history="1">
        <w:r w:rsidRPr="00C10C66">
          <w:rPr>
            <w:rStyle w:val="Hyperlink"/>
            <w:sz w:val="24"/>
            <w:szCs w:val="24"/>
          </w:rPr>
          <w:t>https://www.england.nhs.uk/wp-content/uploads/2019/05/national-medical-examiner-bulletin-april-2022.pdf</w:t>
        </w:r>
      </w:hyperlink>
      <w:r w:rsidR="00F56CD8" w:rsidRPr="00C10C66">
        <w:rPr>
          <w:sz w:val="24"/>
        </w:rPr>
        <w:br w:type="page"/>
      </w:r>
    </w:p>
    <w:p w14:paraId="127A2EB7" w14:textId="77777777" w:rsidR="009F6A66" w:rsidRPr="00124621" w:rsidRDefault="00C61C7F">
      <w:pPr>
        <w:rPr>
          <w:b/>
          <w:sz w:val="24"/>
        </w:rPr>
      </w:pPr>
      <w:r w:rsidRPr="00124621">
        <w:rPr>
          <w:b/>
          <w:sz w:val="24"/>
        </w:rPr>
        <w:lastRenderedPageBreak/>
        <w:t>Annex 1</w:t>
      </w:r>
    </w:p>
    <w:p w14:paraId="745ED4FB" w14:textId="77777777" w:rsidR="00C61C7F" w:rsidRPr="00124621" w:rsidRDefault="00C61C7F" w:rsidP="00C61C7F">
      <w:pPr>
        <w:rPr>
          <w:bCs/>
          <w:sz w:val="24"/>
        </w:rPr>
      </w:pPr>
      <w:r w:rsidRPr="00124621">
        <w:rPr>
          <w:b/>
          <w:bCs/>
          <w:sz w:val="24"/>
        </w:rPr>
        <w:t>Included</w:t>
      </w:r>
      <w:r w:rsidRPr="00124621">
        <w:rPr>
          <w:bCs/>
          <w:sz w:val="24"/>
        </w:rPr>
        <w:t xml:space="preserve"> within the scope of this Policy:</w:t>
      </w:r>
    </w:p>
    <w:p w14:paraId="751D8B5B" w14:textId="77777777" w:rsidR="00C61C7F" w:rsidRPr="00124621" w:rsidRDefault="00C61C7F" w:rsidP="00C61C7F">
      <w:pPr>
        <w:numPr>
          <w:ilvl w:val="0"/>
          <w:numId w:val="1"/>
        </w:numPr>
        <w:rPr>
          <w:sz w:val="24"/>
        </w:rPr>
      </w:pPr>
      <w:r w:rsidRPr="00124621">
        <w:rPr>
          <w:sz w:val="24"/>
        </w:rPr>
        <w:t>All in-patient deaths;</w:t>
      </w:r>
    </w:p>
    <w:p w14:paraId="09780ABD" w14:textId="77777777" w:rsidR="00C61C7F" w:rsidRPr="00124621" w:rsidRDefault="00C61C7F" w:rsidP="00C61C7F">
      <w:pPr>
        <w:numPr>
          <w:ilvl w:val="0"/>
          <w:numId w:val="1"/>
        </w:numPr>
        <w:rPr>
          <w:sz w:val="24"/>
        </w:rPr>
      </w:pPr>
      <w:r w:rsidRPr="00124621">
        <w:rPr>
          <w:sz w:val="24"/>
        </w:rPr>
        <w:t>Patients who die within 30 days of discharge from inpatient services (where the Trust becomes aware of the death);</w:t>
      </w:r>
    </w:p>
    <w:p w14:paraId="5D409EB2" w14:textId="77777777" w:rsidR="00C61C7F" w:rsidRPr="00124621" w:rsidRDefault="00C61C7F" w:rsidP="00C61C7F">
      <w:pPr>
        <w:numPr>
          <w:ilvl w:val="0"/>
          <w:numId w:val="1"/>
        </w:numPr>
        <w:rPr>
          <w:sz w:val="24"/>
        </w:rPr>
      </w:pPr>
      <w:r w:rsidRPr="00124621">
        <w:rPr>
          <w:sz w:val="24"/>
        </w:rPr>
        <w:t>Mandated patient groups identified by the NQB Learning from Deaths guidance including individuals with a learning disability, mental health needs or an infant or child;</w:t>
      </w:r>
    </w:p>
    <w:p w14:paraId="1314E8AF" w14:textId="77777777" w:rsidR="00C61C7F" w:rsidRPr="00124621" w:rsidRDefault="00C61C7F" w:rsidP="00C61C7F">
      <w:pPr>
        <w:numPr>
          <w:ilvl w:val="0"/>
          <w:numId w:val="1"/>
        </w:numPr>
        <w:rPr>
          <w:sz w:val="24"/>
        </w:rPr>
      </w:pPr>
      <w:r w:rsidRPr="00124621">
        <w:rPr>
          <w:sz w:val="24"/>
        </w:rPr>
        <w:t>The death of any patient who is transferred from a Moorfields site and who dies following admission to another provider hospital;</w:t>
      </w:r>
    </w:p>
    <w:p w14:paraId="242F4922" w14:textId="77777777" w:rsidR="00C61C7F" w:rsidRPr="00124621" w:rsidRDefault="00C61C7F" w:rsidP="00C61C7F">
      <w:pPr>
        <w:numPr>
          <w:ilvl w:val="0"/>
          <w:numId w:val="1"/>
        </w:numPr>
        <w:rPr>
          <w:sz w:val="24"/>
        </w:rPr>
      </w:pPr>
      <w:r w:rsidRPr="00124621">
        <w:rPr>
          <w:sz w:val="24"/>
        </w:rPr>
        <w:t xml:space="preserve">The death of any patient, of which the </w:t>
      </w:r>
      <w:r w:rsidR="00EB4603">
        <w:rPr>
          <w:sz w:val="24"/>
        </w:rPr>
        <w:t>t</w:t>
      </w:r>
      <w:r w:rsidRPr="00124621">
        <w:rPr>
          <w:sz w:val="24"/>
        </w:rPr>
        <w:t xml:space="preserve">rust is made aware, within 48 hours of surgery;  </w:t>
      </w:r>
    </w:p>
    <w:p w14:paraId="451562BC" w14:textId="77777777" w:rsidR="00C61C7F" w:rsidRPr="00023539" w:rsidRDefault="00C61C7F" w:rsidP="00C61C7F">
      <w:pPr>
        <w:numPr>
          <w:ilvl w:val="0"/>
          <w:numId w:val="1"/>
        </w:numPr>
        <w:rPr>
          <w:sz w:val="24"/>
        </w:rPr>
      </w:pPr>
      <w:r w:rsidRPr="00023539">
        <w:rPr>
          <w:sz w:val="24"/>
        </w:rPr>
        <w:t xml:space="preserve">All deaths where </w:t>
      </w:r>
      <w:r w:rsidRPr="00023539">
        <w:rPr>
          <w:bCs/>
          <w:sz w:val="24"/>
        </w:rPr>
        <w:t>bereaved families and carers, or staff, have raised a significant concern about the quality of care provision by Moorfields</w:t>
      </w:r>
      <w:r w:rsidRPr="00023539">
        <w:rPr>
          <w:sz w:val="24"/>
        </w:rPr>
        <w:t>;</w:t>
      </w:r>
      <w:r w:rsidR="00C64703">
        <w:rPr>
          <w:sz w:val="24"/>
        </w:rPr>
        <w:t xml:space="preserve"> </w:t>
      </w:r>
    </w:p>
    <w:p w14:paraId="6079A7C7" w14:textId="77777777" w:rsidR="00C61C7F" w:rsidRPr="00124621" w:rsidRDefault="00C61C7F" w:rsidP="00C61C7F">
      <w:pPr>
        <w:numPr>
          <w:ilvl w:val="0"/>
          <w:numId w:val="1"/>
        </w:numPr>
        <w:rPr>
          <w:sz w:val="24"/>
        </w:rPr>
      </w:pPr>
      <w:r w:rsidRPr="00124621">
        <w:rPr>
          <w:sz w:val="24"/>
        </w:rPr>
        <w:t xml:space="preserve">Deaths of which the </w:t>
      </w:r>
      <w:r w:rsidR="00EB4603">
        <w:rPr>
          <w:sz w:val="24"/>
        </w:rPr>
        <w:t>t</w:t>
      </w:r>
      <w:r w:rsidRPr="00124621">
        <w:rPr>
          <w:sz w:val="24"/>
        </w:rPr>
        <w:t>rust becomes aware following notification, and a request for information, by HM Coroner;</w:t>
      </w:r>
    </w:p>
    <w:p w14:paraId="36266332" w14:textId="77777777" w:rsidR="00C61C7F" w:rsidRPr="00124621" w:rsidRDefault="00C61C7F" w:rsidP="00C61C7F">
      <w:pPr>
        <w:numPr>
          <w:ilvl w:val="0"/>
          <w:numId w:val="1"/>
        </w:numPr>
        <w:rPr>
          <w:bCs/>
          <w:sz w:val="24"/>
        </w:rPr>
      </w:pPr>
      <w:r w:rsidRPr="00124621">
        <w:rPr>
          <w:bCs/>
          <w:sz w:val="24"/>
        </w:rPr>
        <w:t>Persons who sustain injury as a result of an accident (e.g. a fall down stairs) whilst on Trust premises and who subsequently die;</w:t>
      </w:r>
    </w:p>
    <w:p w14:paraId="79B85033" w14:textId="77777777" w:rsidR="00C61C7F" w:rsidRPr="00124621" w:rsidRDefault="00C61C7F" w:rsidP="00C61C7F">
      <w:pPr>
        <w:numPr>
          <w:ilvl w:val="0"/>
          <w:numId w:val="1"/>
        </w:numPr>
        <w:rPr>
          <w:sz w:val="24"/>
        </w:rPr>
      </w:pPr>
      <w:r w:rsidRPr="00124621">
        <w:rPr>
          <w:sz w:val="24"/>
        </w:rPr>
        <w:t>Individual deaths identified by the Medical Examiner or through incident reporting or complaints or as a result of the Inquest process;</w:t>
      </w:r>
    </w:p>
    <w:p w14:paraId="2EE9A8F8" w14:textId="77777777" w:rsidR="00C61C7F" w:rsidRPr="00124621" w:rsidRDefault="00C61C7F" w:rsidP="00C61C7F">
      <w:pPr>
        <w:rPr>
          <w:sz w:val="24"/>
        </w:rPr>
      </w:pPr>
    </w:p>
    <w:p w14:paraId="5503F00F" w14:textId="77777777" w:rsidR="00C61C7F" w:rsidRPr="00124621" w:rsidRDefault="00C61C7F" w:rsidP="00C61C7F">
      <w:pPr>
        <w:rPr>
          <w:bCs/>
          <w:sz w:val="24"/>
        </w:rPr>
      </w:pPr>
      <w:r w:rsidRPr="00124621">
        <w:rPr>
          <w:b/>
          <w:bCs/>
          <w:sz w:val="24"/>
        </w:rPr>
        <w:t>Excluded</w:t>
      </w:r>
      <w:r w:rsidRPr="00124621">
        <w:rPr>
          <w:bCs/>
          <w:sz w:val="24"/>
        </w:rPr>
        <w:t xml:space="preserve"> from the scope of this Policy:</w:t>
      </w:r>
    </w:p>
    <w:p w14:paraId="131D519C" w14:textId="77777777" w:rsidR="00C61C7F" w:rsidRPr="00124621" w:rsidRDefault="00C61C7F" w:rsidP="00C61C7F">
      <w:pPr>
        <w:numPr>
          <w:ilvl w:val="0"/>
          <w:numId w:val="2"/>
        </w:numPr>
        <w:rPr>
          <w:bCs/>
          <w:sz w:val="24"/>
        </w:rPr>
      </w:pPr>
      <w:r w:rsidRPr="00124621">
        <w:rPr>
          <w:bCs/>
          <w:sz w:val="24"/>
        </w:rPr>
        <w:t xml:space="preserve">People who are not patients who become unwell whilst on </w:t>
      </w:r>
      <w:r w:rsidR="00EB4603">
        <w:rPr>
          <w:bCs/>
          <w:sz w:val="24"/>
        </w:rPr>
        <w:t>t</w:t>
      </w:r>
      <w:r w:rsidRPr="00124621">
        <w:rPr>
          <w:bCs/>
          <w:sz w:val="24"/>
        </w:rPr>
        <w:t>rust premises and subsequently die;</w:t>
      </w:r>
    </w:p>
    <w:p w14:paraId="66D07F33" w14:textId="77777777" w:rsidR="00C61C7F" w:rsidRPr="00124621" w:rsidRDefault="00C61C7F">
      <w:pPr>
        <w:rPr>
          <w:sz w:val="24"/>
        </w:rPr>
      </w:pPr>
    </w:p>
    <w:p w14:paraId="67ACA3D6" w14:textId="77777777" w:rsidR="00C61C7F" w:rsidRPr="00124621" w:rsidRDefault="00C61C7F">
      <w:pPr>
        <w:rPr>
          <w:sz w:val="24"/>
        </w:rPr>
      </w:pPr>
    </w:p>
    <w:sectPr w:rsidR="00C61C7F" w:rsidRPr="00124621" w:rsidSect="00122507">
      <w:headerReference w:type="default" r:id="rId11"/>
      <w:footerReference w:type="default" r:id="rId12"/>
      <w:pgSz w:w="11906" w:h="16838"/>
      <w:pgMar w:top="1134" w:right="1021" w:bottom="1134"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72EB5" w14:textId="77777777" w:rsidR="00F84C02" w:rsidRDefault="00F84C02" w:rsidP="009F6A66">
      <w:pPr>
        <w:spacing w:after="0" w:line="240" w:lineRule="auto"/>
      </w:pPr>
      <w:r>
        <w:separator/>
      </w:r>
    </w:p>
  </w:endnote>
  <w:endnote w:type="continuationSeparator" w:id="0">
    <w:p w14:paraId="1F6ABAE5" w14:textId="77777777" w:rsidR="00F84C02" w:rsidRDefault="00F84C02" w:rsidP="009F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114286"/>
      <w:docPartObj>
        <w:docPartGallery w:val="Page Numbers (Bottom of Page)"/>
        <w:docPartUnique/>
      </w:docPartObj>
    </w:sdtPr>
    <w:sdtEndPr>
      <w:rPr>
        <w:noProof/>
      </w:rPr>
    </w:sdtEndPr>
    <w:sdtContent>
      <w:p w14:paraId="41AF7D42" w14:textId="00481088" w:rsidR="00AE2D77" w:rsidRDefault="00AE2D77">
        <w:pPr>
          <w:pStyle w:val="Footer"/>
          <w:jc w:val="center"/>
        </w:pPr>
        <w:r>
          <w:fldChar w:fldCharType="begin"/>
        </w:r>
        <w:r>
          <w:instrText xml:space="preserve"> PAGE   \* MERGEFORMAT </w:instrText>
        </w:r>
        <w:r>
          <w:fldChar w:fldCharType="separate"/>
        </w:r>
        <w:r w:rsidR="001207A7">
          <w:rPr>
            <w:noProof/>
          </w:rPr>
          <w:t>2</w:t>
        </w:r>
        <w:r>
          <w:rPr>
            <w:noProof/>
          </w:rPr>
          <w:fldChar w:fldCharType="end"/>
        </w:r>
      </w:p>
    </w:sdtContent>
  </w:sdt>
  <w:p w14:paraId="0465362E" w14:textId="77777777" w:rsidR="00AE2D77" w:rsidRDefault="00AE2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7182" w14:textId="77777777" w:rsidR="00F84C02" w:rsidRDefault="00F84C02" w:rsidP="009F6A66">
      <w:pPr>
        <w:spacing w:after="0" w:line="240" w:lineRule="auto"/>
      </w:pPr>
      <w:r>
        <w:separator/>
      </w:r>
    </w:p>
  </w:footnote>
  <w:footnote w:type="continuationSeparator" w:id="0">
    <w:p w14:paraId="14A44BC4" w14:textId="77777777" w:rsidR="00F84C02" w:rsidRDefault="00F84C02" w:rsidP="009F6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E6B1" w14:textId="77777777" w:rsidR="00AE2D77" w:rsidRDefault="00AE2D77" w:rsidP="00CD581A">
    <w:pPr>
      <w:pStyle w:val="Header"/>
      <w:ind w:left="-284"/>
    </w:pPr>
    <w:r w:rsidRPr="007247DF">
      <w:rPr>
        <w:noProof/>
        <w:lang w:eastAsia="en-GB"/>
      </w:rPr>
      <w:drawing>
        <wp:anchor distT="0" distB="0" distL="114300" distR="114300" simplePos="0" relativeHeight="251659264" behindDoc="0" locked="0" layoutInCell="1" allowOverlap="1" wp14:anchorId="60D97F3F" wp14:editId="12F38CF9">
          <wp:simplePos x="0" y="0"/>
          <wp:positionH relativeFrom="margin">
            <wp:posOffset>5020945</wp:posOffset>
          </wp:positionH>
          <wp:positionV relativeFrom="paragraph">
            <wp:posOffset>-5080</wp:posOffset>
          </wp:positionV>
          <wp:extent cx="909320" cy="366395"/>
          <wp:effectExtent l="0" t="0" r="508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320" cy="366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47DF">
      <w:rPr>
        <w:noProof/>
        <w:lang w:eastAsia="en-GB"/>
      </w:rPr>
      <w:drawing>
        <wp:inline distT="0" distB="0" distL="0" distR="0" wp14:anchorId="2473F451" wp14:editId="0F708253">
          <wp:extent cx="2559277" cy="684000"/>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orfields logo.png"/>
                  <pic:cNvPicPr/>
                </pic:nvPicPr>
                <pic:blipFill>
                  <a:blip r:embed="rId2">
                    <a:extLst>
                      <a:ext uri="{28A0092B-C50C-407E-A947-70E740481C1C}">
                        <a14:useLocalDpi xmlns:a14="http://schemas.microsoft.com/office/drawing/2010/main" val="0"/>
                      </a:ext>
                    </a:extLst>
                  </a:blip>
                  <a:stretch>
                    <a:fillRect/>
                  </a:stretch>
                </pic:blipFill>
                <pic:spPr>
                  <a:xfrm>
                    <a:off x="0" y="0"/>
                    <a:ext cx="2559277" cy="684000"/>
                  </a:xfrm>
                  <a:prstGeom prst="rect">
                    <a:avLst/>
                  </a:prstGeom>
                </pic:spPr>
              </pic:pic>
            </a:graphicData>
          </a:graphic>
        </wp:inline>
      </w:drawing>
    </w:r>
  </w:p>
  <w:p w14:paraId="78A8D170" w14:textId="77777777" w:rsidR="00AE2D77" w:rsidRDefault="00AE2D77" w:rsidP="00CD581A">
    <w:pPr>
      <w:pStyle w:val="Header"/>
      <w:ind w:left="-284"/>
    </w:pPr>
    <w:r w:rsidRPr="008206FD">
      <w:rPr>
        <w:rFonts w:ascii="Calibri" w:hAnsi="Calibri" w:cs="Calibri"/>
        <w:noProof/>
        <w:lang w:eastAsia="en-GB"/>
      </w:rPr>
      <mc:AlternateContent>
        <mc:Choice Requires="wps">
          <w:drawing>
            <wp:anchor distT="45720" distB="45720" distL="114300" distR="114300" simplePos="0" relativeHeight="251661312" behindDoc="0" locked="0" layoutInCell="1" allowOverlap="1" wp14:anchorId="6A4454C9" wp14:editId="5A758A6B">
              <wp:simplePos x="0" y="0"/>
              <wp:positionH relativeFrom="column">
                <wp:posOffset>5020310</wp:posOffset>
              </wp:positionH>
              <wp:positionV relativeFrom="paragraph">
                <wp:posOffset>3175</wp:posOffset>
              </wp:positionV>
              <wp:extent cx="956945" cy="310515"/>
              <wp:effectExtent l="0" t="0" r="1460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310515"/>
                      </a:xfrm>
                      <a:prstGeom prst="rect">
                        <a:avLst/>
                      </a:prstGeom>
                      <a:solidFill>
                        <a:srgbClr val="FFFFFF"/>
                      </a:solidFill>
                      <a:ln w="9525">
                        <a:solidFill>
                          <a:srgbClr val="000000"/>
                        </a:solidFill>
                        <a:miter lim="800000"/>
                        <a:headEnd/>
                        <a:tailEnd/>
                      </a:ln>
                    </wps:spPr>
                    <wps:txbx>
                      <w:txbxContent>
                        <w:p w14:paraId="6A4C1E2F" w14:textId="77777777" w:rsidR="00AE2D77" w:rsidRPr="00124621" w:rsidRDefault="00AE2D77" w:rsidP="00CD581A">
                          <w:pPr>
                            <w:rPr>
                              <w:sz w:val="24"/>
                            </w:rPr>
                          </w:pPr>
                          <w:r w:rsidRPr="00124621">
                            <w:rPr>
                              <w:sz w:val="24"/>
                            </w:rPr>
                            <w:t xml:space="preserve">ITEM </w:t>
                          </w:r>
                          <w:r>
                            <w:rPr>
                              <w:sz w:val="24"/>
                            </w:rPr>
                            <w:t>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454C9" id="_x0000_t202" coordsize="21600,21600" o:spt="202" path="m,l,21600r21600,l21600,xe">
              <v:stroke joinstyle="miter"/>
              <v:path gradientshapeok="t" o:connecttype="rect"/>
            </v:shapetype>
            <v:shape id="Text Box 2" o:spid="_x0000_s1026" type="#_x0000_t202" style="position:absolute;left:0;text-align:left;margin-left:395.3pt;margin-top:.25pt;width:75.35pt;height:2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QUDgIAAB4EAAAOAAAAZHJzL2Uyb0RvYy54bWysU9tu2zAMfR+wfxD0vtjO4q4x4hRdugwD&#10;ugvQ7QNkWbaFyaImKbGzrx8lu2l2exmmB4EUqUPykNzcjL0iR2GdBF3SbJFSIjSHWuq2pF8+719c&#10;U+I80zVToEVJT8LRm+3zZ5vBFGIJHahaWIIg2hWDKWnnvSmSxPFO9MwtwAiNxgZszzyqtk1qywZE&#10;71WyTNOrZABbGwtcOIevd5ORbiN+0wjuPzaNE56okmJuPt423lW4k+2GFa1lppN8ToP9QxY9kxqD&#10;nqHumGfkYOVvUL3kFhw0fsGhT6BpJBexBqwmS3+p5qFjRsRakBxnzjS5/wfLPxwfzCdL/PgaRmxg&#10;LMKZe+BfHdGw65huxa21MHSC1Rg4C5Qlg3HF/DVQ7QoXQKrhPdTYZHbwEIHGxvaBFayTIDo24HQm&#10;XYyecHxc51frVU4JR9PLLM2zPEZgxeNnY51/K6AnQSipxZ5GcHa8dz4kw4pHlxDLgZL1XioVFdtW&#10;O2XJkWH/9/HM6D+5KU2GkMkyn+r/K0Qaz58geulxkJXsS3p9dmJFYO2NruOYeSbVJGPKSs80BuYm&#10;Dv1YjegY6KygPiGhFqaBxQVDoQP7nZIBh7Wk7tuBWUGJeqexKetstQrTHZVV/mqJir20VJcWpjlC&#10;ldRTMok7HzciEKbhFpvXyEjsUyZzrjiEke95YcKUX+rR62mttz8AAAD//wMAUEsDBBQABgAIAAAA&#10;IQD3Kfis3gAAAAcBAAAPAAAAZHJzL2Rvd25yZXYueG1sTI7BTsMwEETvSPyDtUhcEHVKQ9qEbCqE&#10;BIIbtBVc3XibRMTrYLtp+HvMCY6jGb155XoyvRjJ+c4ywnyWgCCure64QdhtH69XIHxQrFVvmRC+&#10;ycO6Oj8rVaHtid9o3IRGRAj7QiG0IQyFlL5uySg/swNx7A7WGRVidI3UTp0i3PTyJkkyaVTH8aFV&#10;Az20VH9ujgZhlT6PH/5l8fpeZ4c+D1fL8enLIV5eTPd3IAJN4W8Mv/pRHarotLdH1l70CMs8yeIU&#10;4RZErPN0vgCxR0jzFGRVyv/+1Q8AAAD//wMAUEsBAi0AFAAGAAgAAAAhALaDOJL+AAAA4QEAABMA&#10;AAAAAAAAAAAAAAAAAAAAAFtDb250ZW50X1R5cGVzXS54bWxQSwECLQAUAAYACAAAACEAOP0h/9YA&#10;AACUAQAACwAAAAAAAAAAAAAAAAAvAQAAX3JlbHMvLnJlbHNQSwECLQAUAAYACAAAACEApx3kFA4C&#10;AAAeBAAADgAAAAAAAAAAAAAAAAAuAgAAZHJzL2Uyb0RvYy54bWxQSwECLQAUAAYACAAAACEA9yn4&#10;rN4AAAAHAQAADwAAAAAAAAAAAAAAAABoBAAAZHJzL2Rvd25yZXYueG1sUEsFBgAAAAAEAAQA8wAA&#10;AHMFAAAAAA==&#10;">
              <v:textbox>
                <w:txbxContent>
                  <w:p w14:paraId="6A4C1E2F" w14:textId="77777777" w:rsidR="00AE2D77" w:rsidRPr="00124621" w:rsidRDefault="00AE2D77" w:rsidP="00CD581A">
                    <w:pPr>
                      <w:rPr>
                        <w:sz w:val="24"/>
                      </w:rPr>
                    </w:pPr>
                    <w:r w:rsidRPr="00124621">
                      <w:rPr>
                        <w:sz w:val="24"/>
                      </w:rPr>
                      <w:t xml:space="preserve">ITEM </w:t>
                    </w:r>
                    <w:r>
                      <w:rPr>
                        <w:sz w:val="24"/>
                      </w:rPr>
                      <w:t>XX</w:t>
                    </w:r>
                  </w:p>
                </w:txbxContent>
              </v:textbox>
              <w10:wrap type="square"/>
            </v:shape>
          </w:pict>
        </mc:Fallback>
      </mc:AlternateContent>
    </w:r>
  </w:p>
  <w:p w14:paraId="7F77BE47" w14:textId="77777777" w:rsidR="00AE2D77" w:rsidRDefault="00AE2D77" w:rsidP="00CD581A">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E497" w14:textId="77777777" w:rsidR="00AE2D77" w:rsidRPr="00124621" w:rsidRDefault="00AE2D77" w:rsidP="00124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5734"/>
    <w:multiLevelType w:val="hybridMultilevel"/>
    <w:tmpl w:val="558C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74212"/>
    <w:multiLevelType w:val="multilevel"/>
    <w:tmpl w:val="DBAE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D614D"/>
    <w:multiLevelType w:val="hybridMultilevel"/>
    <w:tmpl w:val="0F2A1EF6"/>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D56206F"/>
    <w:multiLevelType w:val="hybridMultilevel"/>
    <w:tmpl w:val="CFDE1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772325"/>
    <w:multiLevelType w:val="hybridMultilevel"/>
    <w:tmpl w:val="EB34BBCC"/>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31AA0542"/>
    <w:multiLevelType w:val="hybridMultilevel"/>
    <w:tmpl w:val="A3E63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06BBD"/>
    <w:multiLevelType w:val="hybridMultilevel"/>
    <w:tmpl w:val="1B16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631FD"/>
    <w:multiLevelType w:val="hybridMultilevel"/>
    <w:tmpl w:val="F7E0D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7504CC"/>
    <w:multiLevelType w:val="hybridMultilevel"/>
    <w:tmpl w:val="05109B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10A36"/>
    <w:multiLevelType w:val="hybridMultilevel"/>
    <w:tmpl w:val="F9C24BB8"/>
    <w:lvl w:ilvl="0" w:tplc="F328D4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11F76"/>
    <w:multiLevelType w:val="hybridMultilevel"/>
    <w:tmpl w:val="4A3C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210C99"/>
    <w:multiLevelType w:val="hybridMultilevel"/>
    <w:tmpl w:val="F72CE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8A02B5"/>
    <w:multiLevelType w:val="hybridMultilevel"/>
    <w:tmpl w:val="F306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A0908"/>
    <w:multiLevelType w:val="hybridMultilevel"/>
    <w:tmpl w:val="7544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18039B"/>
    <w:multiLevelType w:val="hybridMultilevel"/>
    <w:tmpl w:val="153A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5C315E"/>
    <w:multiLevelType w:val="hybridMultilevel"/>
    <w:tmpl w:val="CAD8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F769B1"/>
    <w:multiLevelType w:val="hybridMultilevel"/>
    <w:tmpl w:val="CB726C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9"/>
  </w:num>
  <w:num w:numId="4">
    <w:abstractNumId w:val="7"/>
  </w:num>
  <w:num w:numId="5">
    <w:abstractNumId w:val="0"/>
  </w:num>
  <w:num w:numId="6">
    <w:abstractNumId w:val="16"/>
  </w:num>
  <w:num w:numId="7">
    <w:abstractNumId w:val="6"/>
  </w:num>
  <w:num w:numId="8">
    <w:abstractNumId w:val="1"/>
  </w:num>
  <w:num w:numId="9">
    <w:abstractNumId w:val="12"/>
  </w:num>
  <w:num w:numId="10">
    <w:abstractNumId w:val="5"/>
  </w:num>
  <w:num w:numId="11">
    <w:abstractNumId w:val="4"/>
  </w:num>
  <w:num w:numId="12">
    <w:abstractNumId w:val="3"/>
  </w:num>
  <w:num w:numId="13">
    <w:abstractNumId w:val="15"/>
  </w:num>
  <w:num w:numId="14">
    <w:abstractNumId w:val="14"/>
  </w:num>
  <w:num w:numId="15">
    <w:abstractNumId w:val="11"/>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A66"/>
    <w:rsid w:val="000074C2"/>
    <w:rsid w:val="00023539"/>
    <w:rsid w:val="000316A0"/>
    <w:rsid w:val="000409A4"/>
    <w:rsid w:val="000D2C8D"/>
    <w:rsid w:val="000F2223"/>
    <w:rsid w:val="00112162"/>
    <w:rsid w:val="0011649D"/>
    <w:rsid w:val="001207A7"/>
    <w:rsid w:val="00122507"/>
    <w:rsid w:val="00124621"/>
    <w:rsid w:val="001641D1"/>
    <w:rsid w:val="00175B06"/>
    <w:rsid w:val="00184ADE"/>
    <w:rsid w:val="00194F83"/>
    <w:rsid w:val="001A14CB"/>
    <w:rsid w:val="001E76C6"/>
    <w:rsid w:val="0023254A"/>
    <w:rsid w:val="002447D4"/>
    <w:rsid w:val="00244888"/>
    <w:rsid w:val="00257539"/>
    <w:rsid w:val="002867E6"/>
    <w:rsid w:val="00292C54"/>
    <w:rsid w:val="002A38A8"/>
    <w:rsid w:val="002A762A"/>
    <w:rsid w:val="002C13FF"/>
    <w:rsid w:val="002D4A49"/>
    <w:rsid w:val="002F416D"/>
    <w:rsid w:val="00334C19"/>
    <w:rsid w:val="003814C3"/>
    <w:rsid w:val="003922B2"/>
    <w:rsid w:val="00395656"/>
    <w:rsid w:val="003C2D28"/>
    <w:rsid w:val="003D4717"/>
    <w:rsid w:val="003F635D"/>
    <w:rsid w:val="00412114"/>
    <w:rsid w:val="004860F7"/>
    <w:rsid w:val="004935F1"/>
    <w:rsid w:val="004A207B"/>
    <w:rsid w:val="004B3751"/>
    <w:rsid w:val="004D2978"/>
    <w:rsid w:val="004E20BB"/>
    <w:rsid w:val="004E68E6"/>
    <w:rsid w:val="00514BC5"/>
    <w:rsid w:val="00545469"/>
    <w:rsid w:val="00547869"/>
    <w:rsid w:val="005A552D"/>
    <w:rsid w:val="005B3058"/>
    <w:rsid w:val="006359CC"/>
    <w:rsid w:val="006443D2"/>
    <w:rsid w:val="006541F8"/>
    <w:rsid w:val="0065527E"/>
    <w:rsid w:val="00680D2C"/>
    <w:rsid w:val="00687FDA"/>
    <w:rsid w:val="006A7B85"/>
    <w:rsid w:val="006E6204"/>
    <w:rsid w:val="007116DE"/>
    <w:rsid w:val="00716111"/>
    <w:rsid w:val="00722CEB"/>
    <w:rsid w:val="00734ED0"/>
    <w:rsid w:val="00735E5D"/>
    <w:rsid w:val="0074337B"/>
    <w:rsid w:val="00746B15"/>
    <w:rsid w:val="00764E2E"/>
    <w:rsid w:val="00784ED6"/>
    <w:rsid w:val="007B0DF3"/>
    <w:rsid w:val="007C34F4"/>
    <w:rsid w:val="00813DD3"/>
    <w:rsid w:val="008216AB"/>
    <w:rsid w:val="00822227"/>
    <w:rsid w:val="00826AF5"/>
    <w:rsid w:val="008352F1"/>
    <w:rsid w:val="00847D0C"/>
    <w:rsid w:val="008544DD"/>
    <w:rsid w:val="00872451"/>
    <w:rsid w:val="008727A4"/>
    <w:rsid w:val="0088564D"/>
    <w:rsid w:val="0089248C"/>
    <w:rsid w:val="00897B0F"/>
    <w:rsid w:val="008A5BFF"/>
    <w:rsid w:val="008D0820"/>
    <w:rsid w:val="008D19FF"/>
    <w:rsid w:val="008D2AC0"/>
    <w:rsid w:val="008D2E4F"/>
    <w:rsid w:val="008E1D34"/>
    <w:rsid w:val="008F7A24"/>
    <w:rsid w:val="00901591"/>
    <w:rsid w:val="009044F1"/>
    <w:rsid w:val="009119EE"/>
    <w:rsid w:val="00974BB9"/>
    <w:rsid w:val="009763BB"/>
    <w:rsid w:val="00980EB2"/>
    <w:rsid w:val="009A199A"/>
    <w:rsid w:val="009A2581"/>
    <w:rsid w:val="009C43F6"/>
    <w:rsid w:val="009D1EDB"/>
    <w:rsid w:val="009F6A66"/>
    <w:rsid w:val="00A2141F"/>
    <w:rsid w:val="00A26BBC"/>
    <w:rsid w:val="00A27CB3"/>
    <w:rsid w:val="00A41620"/>
    <w:rsid w:val="00A532D5"/>
    <w:rsid w:val="00A53D41"/>
    <w:rsid w:val="00A544B9"/>
    <w:rsid w:val="00A63D26"/>
    <w:rsid w:val="00AA522C"/>
    <w:rsid w:val="00AE2D77"/>
    <w:rsid w:val="00AE655A"/>
    <w:rsid w:val="00AF084E"/>
    <w:rsid w:val="00AF5B74"/>
    <w:rsid w:val="00AF7A1C"/>
    <w:rsid w:val="00B001CD"/>
    <w:rsid w:val="00B03ED8"/>
    <w:rsid w:val="00B155A3"/>
    <w:rsid w:val="00B43526"/>
    <w:rsid w:val="00B67B0B"/>
    <w:rsid w:val="00B9357A"/>
    <w:rsid w:val="00BC4A47"/>
    <w:rsid w:val="00BF066A"/>
    <w:rsid w:val="00C01DA3"/>
    <w:rsid w:val="00C035F7"/>
    <w:rsid w:val="00C10C66"/>
    <w:rsid w:val="00C23B82"/>
    <w:rsid w:val="00C56BB5"/>
    <w:rsid w:val="00C61C7F"/>
    <w:rsid w:val="00C64703"/>
    <w:rsid w:val="00C70ED3"/>
    <w:rsid w:val="00C96AA6"/>
    <w:rsid w:val="00CA24F1"/>
    <w:rsid w:val="00CA2735"/>
    <w:rsid w:val="00CA70F9"/>
    <w:rsid w:val="00CB5C28"/>
    <w:rsid w:val="00CC41CF"/>
    <w:rsid w:val="00CD581A"/>
    <w:rsid w:val="00CE32A7"/>
    <w:rsid w:val="00CE71C5"/>
    <w:rsid w:val="00CF40B4"/>
    <w:rsid w:val="00D03CE8"/>
    <w:rsid w:val="00D33A55"/>
    <w:rsid w:val="00D3400B"/>
    <w:rsid w:val="00D500BA"/>
    <w:rsid w:val="00D8455A"/>
    <w:rsid w:val="00D97106"/>
    <w:rsid w:val="00DA26D6"/>
    <w:rsid w:val="00E01346"/>
    <w:rsid w:val="00E301AA"/>
    <w:rsid w:val="00E326D4"/>
    <w:rsid w:val="00E346D9"/>
    <w:rsid w:val="00E54044"/>
    <w:rsid w:val="00E55383"/>
    <w:rsid w:val="00EA6CB8"/>
    <w:rsid w:val="00EB0841"/>
    <w:rsid w:val="00EB4603"/>
    <w:rsid w:val="00EE281C"/>
    <w:rsid w:val="00EF0AB7"/>
    <w:rsid w:val="00F05A23"/>
    <w:rsid w:val="00F56CD8"/>
    <w:rsid w:val="00F84C02"/>
    <w:rsid w:val="00FB521D"/>
    <w:rsid w:val="00FC56F0"/>
    <w:rsid w:val="00FE1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DA76ABE"/>
  <w15:docId w15:val="{FF3396B6-7F7E-41CC-A295-2F8AABC5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semiHidden/>
    <w:qFormat/>
    <w:rsid w:val="00C56BB5"/>
    <w:pPr>
      <w:suppressAutoHyphens/>
      <w:spacing w:after="0" w:line="240" w:lineRule="auto"/>
    </w:pPr>
    <w:rPr>
      <w:rFonts w:ascii="Arial" w:hAnsi="Arial"/>
      <w:sz w:val="24"/>
      <w:szCs w:val="2"/>
      <w:lang w:val="x-none" w:eastAsia="ar-SA"/>
    </w:rPr>
  </w:style>
  <w:style w:type="character" w:customStyle="1" w:styleId="BalloonTextChar">
    <w:name w:val="Balloon Text Char"/>
    <w:link w:val="BalloonText"/>
    <w:semiHidden/>
    <w:rsid w:val="00C56BB5"/>
    <w:rPr>
      <w:rFonts w:ascii="Arial" w:hAnsi="Arial"/>
      <w:sz w:val="24"/>
      <w:szCs w:val="2"/>
      <w:lang w:val="x-none" w:eastAsia="ar-SA"/>
    </w:rPr>
  </w:style>
  <w:style w:type="table" w:styleId="TableGrid">
    <w:name w:val="Table Grid"/>
    <w:basedOn w:val="TableNormal"/>
    <w:uiPriority w:val="59"/>
    <w:rsid w:val="009F6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F6A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A66"/>
    <w:rPr>
      <w:sz w:val="20"/>
      <w:szCs w:val="20"/>
    </w:rPr>
  </w:style>
  <w:style w:type="character" w:styleId="FootnoteReference">
    <w:name w:val="footnote reference"/>
    <w:basedOn w:val="DefaultParagraphFont"/>
    <w:uiPriority w:val="99"/>
    <w:semiHidden/>
    <w:unhideWhenUsed/>
    <w:rsid w:val="009F6A66"/>
    <w:rPr>
      <w:vertAlign w:val="superscript"/>
    </w:rPr>
  </w:style>
  <w:style w:type="paragraph" w:styleId="ListParagraph">
    <w:name w:val="List Paragraph"/>
    <w:basedOn w:val="Normal"/>
    <w:uiPriority w:val="34"/>
    <w:qFormat/>
    <w:rsid w:val="00901591"/>
    <w:pPr>
      <w:ind w:left="720"/>
      <w:contextualSpacing/>
    </w:pPr>
  </w:style>
  <w:style w:type="paragraph" w:styleId="Header">
    <w:name w:val="header"/>
    <w:basedOn w:val="Normal"/>
    <w:link w:val="HeaderChar"/>
    <w:uiPriority w:val="99"/>
    <w:unhideWhenUsed/>
    <w:rsid w:val="00B03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ED8"/>
  </w:style>
  <w:style w:type="paragraph" w:styleId="Footer">
    <w:name w:val="footer"/>
    <w:basedOn w:val="Normal"/>
    <w:link w:val="FooterChar"/>
    <w:uiPriority w:val="99"/>
    <w:unhideWhenUsed/>
    <w:rsid w:val="00B03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ED8"/>
  </w:style>
  <w:style w:type="character" w:styleId="Hyperlink">
    <w:name w:val="Hyperlink"/>
    <w:basedOn w:val="DefaultParagraphFont"/>
    <w:uiPriority w:val="99"/>
    <w:unhideWhenUsed/>
    <w:rsid w:val="00E346D9"/>
    <w:rPr>
      <w:color w:val="0000FF" w:themeColor="hyperlink"/>
      <w:u w:val="single"/>
    </w:rPr>
  </w:style>
  <w:style w:type="paragraph" w:customStyle="1" w:styleId="Venue">
    <w:name w:val="Venue"/>
    <w:basedOn w:val="Normal"/>
    <w:rsid w:val="00CD581A"/>
    <w:pPr>
      <w:snapToGrid w:val="0"/>
      <w:spacing w:after="360" w:line="240" w:lineRule="auto"/>
      <w:contextualSpacing/>
    </w:pPr>
    <w:rPr>
      <w:rFonts w:eastAsiaTheme="minorEastAsia" w:cs="Times New Roman"/>
      <w:b/>
      <w:bCs/>
      <w:sz w:val="24"/>
      <w:szCs w:val="20"/>
      <w:lang w:eastAsia="ko-KR"/>
    </w:rPr>
  </w:style>
  <w:style w:type="character" w:styleId="CommentReference">
    <w:name w:val="annotation reference"/>
    <w:basedOn w:val="DefaultParagraphFont"/>
    <w:uiPriority w:val="99"/>
    <w:semiHidden/>
    <w:unhideWhenUsed/>
    <w:rsid w:val="00CB5C28"/>
    <w:rPr>
      <w:sz w:val="16"/>
      <w:szCs w:val="16"/>
    </w:rPr>
  </w:style>
  <w:style w:type="paragraph" w:styleId="CommentText">
    <w:name w:val="annotation text"/>
    <w:basedOn w:val="Normal"/>
    <w:link w:val="CommentTextChar"/>
    <w:uiPriority w:val="99"/>
    <w:semiHidden/>
    <w:unhideWhenUsed/>
    <w:rsid w:val="00CB5C28"/>
    <w:pPr>
      <w:spacing w:line="240" w:lineRule="auto"/>
    </w:pPr>
    <w:rPr>
      <w:sz w:val="20"/>
      <w:szCs w:val="20"/>
    </w:rPr>
  </w:style>
  <w:style w:type="character" w:customStyle="1" w:styleId="CommentTextChar">
    <w:name w:val="Comment Text Char"/>
    <w:basedOn w:val="DefaultParagraphFont"/>
    <w:link w:val="CommentText"/>
    <w:uiPriority w:val="99"/>
    <w:semiHidden/>
    <w:rsid w:val="00CB5C28"/>
    <w:rPr>
      <w:sz w:val="20"/>
      <w:szCs w:val="20"/>
    </w:rPr>
  </w:style>
  <w:style w:type="paragraph" w:styleId="CommentSubject">
    <w:name w:val="annotation subject"/>
    <w:basedOn w:val="CommentText"/>
    <w:next w:val="CommentText"/>
    <w:link w:val="CommentSubjectChar"/>
    <w:uiPriority w:val="99"/>
    <w:semiHidden/>
    <w:unhideWhenUsed/>
    <w:rsid w:val="00CB5C28"/>
    <w:rPr>
      <w:b/>
      <w:bCs/>
    </w:rPr>
  </w:style>
  <w:style w:type="character" w:customStyle="1" w:styleId="CommentSubjectChar">
    <w:name w:val="Comment Subject Char"/>
    <w:basedOn w:val="CommentTextChar"/>
    <w:link w:val="CommentSubject"/>
    <w:uiPriority w:val="99"/>
    <w:semiHidden/>
    <w:rsid w:val="00CB5C28"/>
    <w:rPr>
      <w:b/>
      <w:bCs/>
      <w:sz w:val="20"/>
      <w:szCs w:val="20"/>
    </w:rPr>
  </w:style>
  <w:style w:type="paragraph" w:styleId="NoSpacing">
    <w:name w:val="No Spacing"/>
    <w:uiPriority w:val="1"/>
    <w:qFormat/>
    <w:rsid w:val="00AF7A1C"/>
    <w:pPr>
      <w:spacing w:after="0" w:line="240" w:lineRule="auto"/>
    </w:pPr>
  </w:style>
  <w:style w:type="character" w:styleId="UnresolvedMention">
    <w:name w:val="Unresolved Mention"/>
    <w:basedOn w:val="DefaultParagraphFont"/>
    <w:uiPriority w:val="99"/>
    <w:semiHidden/>
    <w:unhideWhenUsed/>
    <w:rsid w:val="003F6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91450">
      <w:bodyDiv w:val="1"/>
      <w:marLeft w:val="0"/>
      <w:marRight w:val="0"/>
      <w:marTop w:val="0"/>
      <w:marBottom w:val="0"/>
      <w:divBdr>
        <w:top w:val="none" w:sz="0" w:space="0" w:color="auto"/>
        <w:left w:val="none" w:sz="0" w:space="0" w:color="auto"/>
        <w:bottom w:val="none" w:sz="0" w:space="0" w:color="auto"/>
        <w:right w:val="none" w:sz="0" w:space="0" w:color="auto"/>
      </w:divBdr>
      <w:divsChild>
        <w:div w:id="648826531">
          <w:marLeft w:val="0"/>
          <w:marRight w:val="0"/>
          <w:marTop w:val="0"/>
          <w:marBottom w:val="0"/>
          <w:divBdr>
            <w:top w:val="none" w:sz="0" w:space="0" w:color="auto"/>
            <w:left w:val="none" w:sz="0" w:space="0" w:color="auto"/>
            <w:bottom w:val="none" w:sz="0" w:space="0" w:color="auto"/>
            <w:right w:val="none" w:sz="0" w:space="0" w:color="auto"/>
          </w:divBdr>
          <w:divsChild>
            <w:div w:id="62066543">
              <w:marLeft w:val="0"/>
              <w:marRight w:val="0"/>
              <w:marTop w:val="0"/>
              <w:marBottom w:val="0"/>
              <w:divBdr>
                <w:top w:val="none" w:sz="0" w:space="0" w:color="auto"/>
                <w:left w:val="none" w:sz="0" w:space="0" w:color="auto"/>
                <w:bottom w:val="none" w:sz="0" w:space="0" w:color="auto"/>
                <w:right w:val="none" w:sz="0" w:space="0" w:color="auto"/>
              </w:divBdr>
              <w:divsChild>
                <w:div w:id="1878858604">
                  <w:marLeft w:val="0"/>
                  <w:marRight w:val="0"/>
                  <w:marTop w:val="0"/>
                  <w:marBottom w:val="0"/>
                  <w:divBdr>
                    <w:top w:val="none" w:sz="0" w:space="0" w:color="auto"/>
                    <w:left w:val="none" w:sz="0" w:space="0" w:color="auto"/>
                    <w:bottom w:val="none" w:sz="0" w:space="0" w:color="auto"/>
                    <w:right w:val="none" w:sz="0" w:space="0" w:color="auto"/>
                  </w:divBdr>
                  <w:divsChild>
                    <w:div w:id="239291860">
                      <w:marLeft w:val="0"/>
                      <w:marRight w:val="0"/>
                      <w:marTop w:val="0"/>
                      <w:marBottom w:val="0"/>
                      <w:divBdr>
                        <w:top w:val="none" w:sz="0" w:space="0" w:color="auto"/>
                        <w:left w:val="none" w:sz="0" w:space="0" w:color="auto"/>
                        <w:bottom w:val="none" w:sz="0" w:space="0" w:color="auto"/>
                        <w:right w:val="none" w:sz="0" w:space="0" w:color="auto"/>
                      </w:divBdr>
                      <w:divsChild>
                        <w:div w:id="13534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england.nhs.uk/wp-content/uploads/2019/05/national-medical-examiner-bulletin-april-2022.pdf" TargetMode="External"/><Relationship Id="rId4" Type="http://schemas.openxmlformats.org/officeDocument/2006/relationships/settings" Target="settings.xml"/><Relationship Id="rId9" Type="http://schemas.openxmlformats.org/officeDocument/2006/relationships/hyperlink" Target="https://www.england.nhs.uk/wp-content/uploads/2019/05/National-medical-examiner-bulletin-February-2022.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CF8C-54BA-40CD-9DF8-9D93F6A3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Moorfields Eye Hospital</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NOTTJ</dc:creator>
  <cp:lastModifiedBy>NOTT, Julie (MOORFIELDS EYE HOSPITAL NHS FOUNDATION TRUST)</cp:lastModifiedBy>
  <cp:revision>2</cp:revision>
  <cp:lastPrinted>2019-01-29T08:21:00Z</cp:lastPrinted>
  <dcterms:created xsi:type="dcterms:W3CDTF">2022-05-16T05:47:00Z</dcterms:created>
  <dcterms:modified xsi:type="dcterms:W3CDTF">2022-05-16T05:47:00Z</dcterms:modified>
</cp:coreProperties>
</file>