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37F9A" w14:textId="77777777" w:rsidR="000B6812" w:rsidRDefault="000B6812"/>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6962"/>
      </w:tblGrid>
      <w:tr w:rsidR="000B6812" w:rsidRPr="000B6812" w14:paraId="3DB61DBB" w14:textId="77777777" w:rsidTr="00E629BD">
        <w:trPr>
          <w:trHeight w:val="475"/>
        </w:trPr>
        <w:tc>
          <w:tcPr>
            <w:tcW w:w="3132" w:type="dxa"/>
            <w:tcBorders>
              <w:top w:val="single" w:sz="4" w:space="0" w:color="auto"/>
              <w:left w:val="single" w:sz="4" w:space="0" w:color="auto"/>
              <w:bottom w:val="single" w:sz="4" w:space="0" w:color="auto"/>
              <w:right w:val="single" w:sz="4" w:space="0" w:color="auto"/>
            </w:tcBorders>
            <w:vAlign w:val="center"/>
            <w:hideMark/>
          </w:tcPr>
          <w:p w14:paraId="3C732AB6" w14:textId="77777777" w:rsidR="000B6812" w:rsidRPr="000B6812" w:rsidRDefault="000B6812" w:rsidP="000B6812">
            <w:pPr>
              <w:spacing w:before="20" w:after="20"/>
              <w:jc w:val="left"/>
              <w:rPr>
                <w:b/>
                <w:szCs w:val="24"/>
              </w:rPr>
            </w:pPr>
            <w:r w:rsidRPr="000B6812">
              <w:rPr>
                <w:b/>
                <w:szCs w:val="24"/>
              </w:rPr>
              <w:t>Report title</w:t>
            </w:r>
          </w:p>
        </w:tc>
        <w:tc>
          <w:tcPr>
            <w:tcW w:w="6962" w:type="dxa"/>
            <w:tcBorders>
              <w:top w:val="single" w:sz="4" w:space="0" w:color="auto"/>
              <w:left w:val="single" w:sz="4" w:space="0" w:color="auto"/>
              <w:bottom w:val="single" w:sz="4" w:space="0" w:color="auto"/>
              <w:right w:val="single" w:sz="4" w:space="0" w:color="auto"/>
            </w:tcBorders>
            <w:vAlign w:val="center"/>
          </w:tcPr>
          <w:p w14:paraId="293A5405" w14:textId="539C2E0D" w:rsidR="000B6812" w:rsidRPr="000B6812" w:rsidRDefault="001A7D2C" w:rsidP="0045405E">
            <w:pPr>
              <w:spacing w:before="20" w:after="20"/>
              <w:jc w:val="left"/>
              <w:rPr>
                <w:b/>
                <w:szCs w:val="24"/>
              </w:rPr>
            </w:pPr>
            <w:r w:rsidRPr="001A7D2C">
              <w:rPr>
                <w:b/>
                <w:szCs w:val="24"/>
              </w:rPr>
              <w:t>2021/22 Annual Report and Accounts and Assessment of Going Concern</w:t>
            </w:r>
          </w:p>
        </w:tc>
      </w:tr>
      <w:tr w:rsidR="000B6812" w:rsidRPr="000B6812" w14:paraId="26AB6016" w14:textId="77777777" w:rsidTr="00E629BD">
        <w:trPr>
          <w:trHeight w:val="567"/>
        </w:trPr>
        <w:tc>
          <w:tcPr>
            <w:tcW w:w="3132" w:type="dxa"/>
            <w:tcBorders>
              <w:top w:val="single" w:sz="4" w:space="0" w:color="auto"/>
              <w:left w:val="single" w:sz="4" w:space="0" w:color="auto"/>
              <w:bottom w:val="single" w:sz="4" w:space="0" w:color="auto"/>
              <w:right w:val="single" w:sz="4" w:space="0" w:color="auto"/>
            </w:tcBorders>
            <w:vAlign w:val="center"/>
            <w:hideMark/>
          </w:tcPr>
          <w:p w14:paraId="0E9F6794" w14:textId="77777777" w:rsidR="000B6812" w:rsidRPr="000B6812" w:rsidRDefault="000B6812" w:rsidP="000B6812">
            <w:pPr>
              <w:spacing w:before="20" w:after="20"/>
              <w:jc w:val="left"/>
              <w:rPr>
                <w:b/>
                <w:szCs w:val="24"/>
              </w:rPr>
            </w:pPr>
            <w:r w:rsidRPr="000B6812">
              <w:rPr>
                <w:b/>
                <w:szCs w:val="24"/>
              </w:rPr>
              <w:t>Report from</w:t>
            </w:r>
          </w:p>
        </w:tc>
        <w:tc>
          <w:tcPr>
            <w:tcW w:w="6962" w:type="dxa"/>
            <w:tcBorders>
              <w:top w:val="single" w:sz="4" w:space="0" w:color="auto"/>
              <w:left w:val="single" w:sz="4" w:space="0" w:color="auto"/>
              <w:bottom w:val="single" w:sz="4" w:space="0" w:color="auto"/>
              <w:right w:val="single" w:sz="4" w:space="0" w:color="auto"/>
            </w:tcBorders>
            <w:vAlign w:val="center"/>
          </w:tcPr>
          <w:p w14:paraId="145547AC" w14:textId="77777777" w:rsidR="000B6812" w:rsidRPr="000B6812" w:rsidRDefault="000B6812" w:rsidP="000B6812">
            <w:pPr>
              <w:spacing w:before="20" w:after="20"/>
              <w:jc w:val="left"/>
              <w:rPr>
                <w:szCs w:val="24"/>
              </w:rPr>
            </w:pPr>
            <w:r w:rsidRPr="000B6812">
              <w:rPr>
                <w:szCs w:val="24"/>
              </w:rPr>
              <w:t>Jonathan Wilson (Chief Financial Officer)</w:t>
            </w:r>
          </w:p>
        </w:tc>
      </w:tr>
      <w:tr w:rsidR="000B6812" w:rsidRPr="000B6812" w14:paraId="6E112DCE" w14:textId="77777777" w:rsidTr="00E629BD">
        <w:trPr>
          <w:trHeight w:val="547"/>
        </w:trPr>
        <w:tc>
          <w:tcPr>
            <w:tcW w:w="3132" w:type="dxa"/>
            <w:tcBorders>
              <w:top w:val="single" w:sz="4" w:space="0" w:color="auto"/>
              <w:left w:val="single" w:sz="4" w:space="0" w:color="auto"/>
              <w:bottom w:val="single" w:sz="4" w:space="0" w:color="auto"/>
              <w:right w:val="single" w:sz="4" w:space="0" w:color="auto"/>
            </w:tcBorders>
            <w:vAlign w:val="center"/>
            <w:hideMark/>
          </w:tcPr>
          <w:p w14:paraId="1791F43A" w14:textId="77777777" w:rsidR="000B6812" w:rsidRPr="000B6812" w:rsidRDefault="000B6812" w:rsidP="000B6812">
            <w:pPr>
              <w:spacing w:before="20" w:after="20"/>
              <w:jc w:val="left"/>
              <w:rPr>
                <w:b/>
                <w:szCs w:val="24"/>
              </w:rPr>
            </w:pPr>
            <w:r w:rsidRPr="000B6812">
              <w:rPr>
                <w:b/>
                <w:szCs w:val="24"/>
              </w:rPr>
              <w:t>Prepared by</w:t>
            </w:r>
          </w:p>
        </w:tc>
        <w:tc>
          <w:tcPr>
            <w:tcW w:w="6962" w:type="dxa"/>
            <w:tcBorders>
              <w:top w:val="single" w:sz="4" w:space="0" w:color="auto"/>
              <w:left w:val="single" w:sz="4" w:space="0" w:color="auto"/>
              <w:bottom w:val="single" w:sz="4" w:space="0" w:color="auto"/>
              <w:right w:val="single" w:sz="4" w:space="0" w:color="auto"/>
            </w:tcBorders>
            <w:vAlign w:val="center"/>
          </w:tcPr>
          <w:p w14:paraId="24DCD090" w14:textId="77777777" w:rsidR="000B6812" w:rsidRDefault="00736235" w:rsidP="00CC1143">
            <w:pPr>
              <w:tabs>
                <w:tab w:val="left" w:pos="2329"/>
              </w:tabs>
              <w:spacing w:before="20" w:after="20"/>
              <w:jc w:val="left"/>
              <w:rPr>
                <w:szCs w:val="24"/>
              </w:rPr>
            </w:pPr>
            <w:r>
              <w:rPr>
                <w:szCs w:val="24"/>
              </w:rPr>
              <w:t xml:space="preserve">Lubna Dharssi </w:t>
            </w:r>
            <w:r w:rsidR="000B6812" w:rsidRPr="000B6812">
              <w:rPr>
                <w:szCs w:val="24"/>
              </w:rPr>
              <w:t>(</w:t>
            </w:r>
            <w:r w:rsidR="00CC1143">
              <w:rPr>
                <w:szCs w:val="24"/>
              </w:rPr>
              <w:t>Head of Financial Control</w:t>
            </w:r>
            <w:r w:rsidR="000B6812" w:rsidRPr="000B6812">
              <w:rPr>
                <w:szCs w:val="24"/>
              </w:rPr>
              <w:t>)</w:t>
            </w:r>
          </w:p>
          <w:p w14:paraId="55530C71" w14:textId="5C9520AC" w:rsidR="001A7D2C" w:rsidRPr="000B6812" w:rsidRDefault="001A7D2C" w:rsidP="00CC1143">
            <w:pPr>
              <w:tabs>
                <w:tab w:val="left" w:pos="2329"/>
              </w:tabs>
              <w:spacing w:before="20" w:after="20"/>
              <w:jc w:val="left"/>
              <w:rPr>
                <w:szCs w:val="24"/>
              </w:rPr>
            </w:pPr>
            <w:r>
              <w:rPr>
                <w:szCs w:val="24"/>
              </w:rPr>
              <w:t>Jamie O’Callaghan (Head of Corporate Governance)</w:t>
            </w:r>
          </w:p>
        </w:tc>
      </w:tr>
      <w:tr w:rsidR="000B6812" w:rsidRPr="000B6812" w14:paraId="01BD3C0F" w14:textId="77777777" w:rsidTr="00DF02E2">
        <w:trPr>
          <w:trHeight w:val="555"/>
        </w:trPr>
        <w:tc>
          <w:tcPr>
            <w:tcW w:w="3132" w:type="dxa"/>
            <w:tcBorders>
              <w:top w:val="single" w:sz="4" w:space="0" w:color="auto"/>
              <w:left w:val="single" w:sz="4" w:space="0" w:color="auto"/>
              <w:bottom w:val="single" w:sz="4" w:space="0" w:color="auto"/>
              <w:right w:val="single" w:sz="4" w:space="0" w:color="auto"/>
            </w:tcBorders>
            <w:vAlign w:val="center"/>
          </w:tcPr>
          <w:p w14:paraId="2417211D" w14:textId="77777777" w:rsidR="000B6812" w:rsidRPr="000B6812" w:rsidRDefault="000B6812" w:rsidP="000B6812">
            <w:pPr>
              <w:spacing w:before="0" w:after="0"/>
              <w:jc w:val="left"/>
              <w:rPr>
                <w:b/>
                <w:szCs w:val="24"/>
              </w:rPr>
            </w:pPr>
            <w:r w:rsidRPr="000B6812">
              <w:rPr>
                <w:b/>
                <w:szCs w:val="24"/>
              </w:rPr>
              <w:t>Link to strategic objectives</w:t>
            </w:r>
          </w:p>
        </w:tc>
        <w:tc>
          <w:tcPr>
            <w:tcW w:w="6962" w:type="dxa"/>
            <w:tcBorders>
              <w:top w:val="single" w:sz="4" w:space="0" w:color="auto"/>
              <w:left w:val="single" w:sz="4" w:space="0" w:color="auto"/>
              <w:bottom w:val="single" w:sz="4" w:space="0" w:color="auto"/>
              <w:right w:val="single" w:sz="4" w:space="0" w:color="auto"/>
            </w:tcBorders>
            <w:vAlign w:val="center"/>
          </w:tcPr>
          <w:p w14:paraId="265E10F5" w14:textId="77777777" w:rsidR="000B6812" w:rsidRPr="000B6812" w:rsidRDefault="000B6812" w:rsidP="000B6812">
            <w:pPr>
              <w:autoSpaceDE w:val="0"/>
              <w:autoSpaceDN w:val="0"/>
              <w:adjustRightInd w:val="0"/>
              <w:spacing w:before="0" w:after="0"/>
              <w:jc w:val="left"/>
              <w:rPr>
                <w:rFonts w:ascii="Frutiger-Roman" w:hAnsi="Frutiger-Roman" w:cs="Frutiger-Roman"/>
                <w:szCs w:val="24"/>
              </w:rPr>
            </w:pPr>
            <w:r w:rsidRPr="000B6812">
              <w:rPr>
                <w:szCs w:val="24"/>
              </w:rPr>
              <w:t>We will have a sustainable financial model.</w:t>
            </w:r>
            <w:r w:rsidRPr="000B6812">
              <w:rPr>
                <w:rFonts w:ascii="Frutiger-Roman" w:hAnsi="Frutiger-Roman" w:cs="Frutiger-Roman"/>
                <w:szCs w:val="24"/>
              </w:rPr>
              <w:t xml:space="preserve"> </w:t>
            </w:r>
          </w:p>
        </w:tc>
      </w:tr>
    </w:tbl>
    <w:p w14:paraId="53B5AFA4" w14:textId="77777777" w:rsidR="000B6812" w:rsidRPr="000B6812" w:rsidRDefault="000B6812" w:rsidP="000B6812">
      <w:pPr>
        <w:spacing w:after="0"/>
        <w:rPr>
          <w:szCs w:val="24"/>
        </w:rPr>
      </w:pPr>
    </w:p>
    <w:tbl>
      <w:tblPr>
        <w:tblW w:w="10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465"/>
        <w:gridCol w:w="2020"/>
        <w:gridCol w:w="410"/>
        <w:gridCol w:w="2136"/>
        <w:gridCol w:w="509"/>
        <w:gridCol w:w="1830"/>
        <w:gridCol w:w="405"/>
      </w:tblGrid>
      <w:tr w:rsidR="000B6812" w:rsidRPr="000B6812" w14:paraId="71332343" w14:textId="77777777" w:rsidTr="00E629BD">
        <w:trPr>
          <w:trHeight w:val="415"/>
        </w:trPr>
        <w:tc>
          <w:tcPr>
            <w:tcW w:w="10176" w:type="dxa"/>
            <w:gridSpan w:val="8"/>
            <w:tcBorders>
              <w:top w:val="single" w:sz="4" w:space="0" w:color="auto"/>
              <w:left w:val="single" w:sz="4" w:space="0" w:color="auto"/>
              <w:bottom w:val="single" w:sz="4" w:space="0" w:color="auto"/>
              <w:right w:val="single" w:sz="4" w:space="0" w:color="auto"/>
            </w:tcBorders>
            <w:vAlign w:val="center"/>
          </w:tcPr>
          <w:p w14:paraId="7C1FF627" w14:textId="77777777" w:rsidR="000B6812" w:rsidRPr="000B6812" w:rsidRDefault="000B6812" w:rsidP="000B6812">
            <w:pPr>
              <w:spacing w:before="0" w:after="0"/>
              <w:rPr>
                <w:b/>
                <w:szCs w:val="24"/>
              </w:rPr>
            </w:pPr>
            <w:r w:rsidRPr="000B6812">
              <w:rPr>
                <w:b/>
                <w:szCs w:val="24"/>
              </w:rPr>
              <w:t>Executive Summary</w:t>
            </w:r>
          </w:p>
        </w:tc>
      </w:tr>
      <w:tr w:rsidR="000B6812" w:rsidRPr="000B6812" w14:paraId="5B33F7B6" w14:textId="77777777" w:rsidTr="00A92694">
        <w:trPr>
          <w:trHeight w:val="5652"/>
        </w:trPr>
        <w:tc>
          <w:tcPr>
            <w:tcW w:w="10176" w:type="dxa"/>
            <w:gridSpan w:val="8"/>
            <w:tcBorders>
              <w:top w:val="single" w:sz="4" w:space="0" w:color="auto"/>
              <w:left w:val="single" w:sz="4" w:space="0" w:color="auto"/>
              <w:bottom w:val="single" w:sz="4" w:space="0" w:color="auto"/>
              <w:right w:val="single" w:sz="4" w:space="0" w:color="auto"/>
            </w:tcBorders>
          </w:tcPr>
          <w:p w14:paraId="51DCAD29" w14:textId="77777777" w:rsidR="00EA2F0F" w:rsidRDefault="00EA2F0F" w:rsidP="009C689C">
            <w:pPr>
              <w:spacing w:before="240" w:after="200" w:line="276" w:lineRule="auto"/>
              <w:contextualSpacing/>
              <w:jc w:val="left"/>
              <w:rPr>
                <w:color w:val="FF0000"/>
                <w:szCs w:val="24"/>
              </w:rPr>
            </w:pPr>
          </w:p>
          <w:p w14:paraId="19EBE66C" w14:textId="77777777" w:rsidR="00EA2F0F" w:rsidRDefault="00EA2F0F" w:rsidP="00EA2F0F">
            <w:pPr>
              <w:rPr>
                <w:rFonts w:cstheme="minorHAnsi"/>
                <w:i/>
                <w:szCs w:val="24"/>
              </w:rPr>
            </w:pPr>
            <w:r w:rsidRPr="00A11D58">
              <w:rPr>
                <w:rFonts w:cstheme="minorHAnsi"/>
                <w:i/>
                <w:szCs w:val="24"/>
              </w:rPr>
              <w:t>Annual Report</w:t>
            </w:r>
          </w:p>
          <w:p w14:paraId="09F37FA0" w14:textId="77777777" w:rsidR="00EA2F0F" w:rsidRPr="00A929FA" w:rsidRDefault="00EA2F0F" w:rsidP="00EA2F0F">
            <w:pPr>
              <w:rPr>
                <w:rFonts w:cstheme="minorHAnsi"/>
                <w:i/>
                <w:szCs w:val="24"/>
              </w:rPr>
            </w:pPr>
            <w:r>
              <w:rPr>
                <w:rFonts w:cstheme="minorHAnsi"/>
                <w:szCs w:val="24"/>
              </w:rPr>
              <w:t>Paragraph 26 of Schedule 7 to the NHS Act 2006 requires NHS Foundation Trusts to prepare and annual report in a form decided by NHS Improvement. The report has been prepared in accordance with the latest guidance.</w:t>
            </w:r>
          </w:p>
          <w:p w14:paraId="5D73CE0D" w14:textId="77777777" w:rsidR="00EA2F0F" w:rsidRPr="00A11D58" w:rsidRDefault="00EA2F0F" w:rsidP="00EA2F0F">
            <w:pPr>
              <w:rPr>
                <w:rFonts w:cstheme="minorHAnsi"/>
                <w:i/>
                <w:szCs w:val="24"/>
              </w:rPr>
            </w:pPr>
            <w:r w:rsidRPr="00A11D58">
              <w:rPr>
                <w:rFonts w:cstheme="minorHAnsi"/>
                <w:i/>
                <w:szCs w:val="24"/>
              </w:rPr>
              <w:t>Annual Accounts</w:t>
            </w:r>
          </w:p>
          <w:p w14:paraId="3EB4BA04" w14:textId="77777777" w:rsidR="00EA2F0F" w:rsidRPr="00EA2F0F" w:rsidRDefault="00EA2F0F" w:rsidP="00EA2F0F">
            <w:pPr>
              <w:rPr>
                <w:rFonts w:cstheme="minorHAnsi"/>
                <w:szCs w:val="24"/>
              </w:rPr>
            </w:pPr>
            <w:r>
              <w:rPr>
                <w:rFonts w:cstheme="minorHAnsi"/>
                <w:szCs w:val="24"/>
              </w:rPr>
              <w:t xml:space="preserve">The accounts have been prepared in accordance with paragraphs 24 and 25 of Schedule 7 to the NHS Act 2006. </w:t>
            </w:r>
            <w:r w:rsidRPr="0078251D">
              <w:rPr>
                <w:color w:val="000000" w:themeColor="text1"/>
                <w:szCs w:val="24"/>
              </w:rPr>
              <w:t>This paper provides a summary of the main points of the Annual Report and Annual Accounts</w:t>
            </w:r>
            <w:r>
              <w:rPr>
                <w:color w:val="000000" w:themeColor="text1"/>
                <w:szCs w:val="24"/>
              </w:rPr>
              <w:t>,</w:t>
            </w:r>
            <w:r w:rsidRPr="0078251D">
              <w:rPr>
                <w:color w:val="000000" w:themeColor="text1"/>
                <w:szCs w:val="24"/>
              </w:rPr>
              <w:t xml:space="preserve"> </w:t>
            </w:r>
            <w:r>
              <w:rPr>
                <w:color w:val="000000" w:themeColor="text1"/>
                <w:szCs w:val="24"/>
              </w:rPr>
              <w:t xml:space="preserve">including </w:t>
            </w:r>
            <w:r w:rsidRPr="0078251D">
              <w:rPr>
                <w:color w:val="000000" w:themeColor="text1"/>
                <w:szCs w:val="24"/>
              </w:rPr>
              <w:t>as well as an assessment that preparing the accounts on the Going Concern basis remains appropriate.</w:t>
            </w:r>
          </w:p>
          <w:p w14:paraId="3650F782" w14:textId="12B790B6" w:rsidR="00EA2F0F" w:rsidRPr="00BD71EF" w:rsidRDefault="00F22225" w:rsidP="000A3C30">
            <w:pPr>
              <w:spacing w:before="240" w:after="200" w:line="276" w:lineRule="auto"/>
              <w:contextualSpacing/>
              <w:rPr>
                <w:rFonts w:cstheme="minorHAnsi"/>
                <w:szCs w:val="24"/>
              </w:rPr>
            </w:pPr>
            <w:r>
              <w:rPr>
                <w:rFonts w:cstheme="minorHAnsi"/>
                <w:szCs w:val="24"/>
              </w:rPr>
              <w:t xml:space="preserve">The </w:t>
            </w:r>
            <w:r w:rsidR="00BD71EF">
              <w:rPr>
                <w:rFonts w:cstheme="minorHAnsi"/>
                <w:szCs w:val="24"/>
              </w:rPr>
              <w:t>Board is asked</w:t>
            </w:r>
            <w:r>
              <w:rPr>
                <w:rFonts w:cstheme="minorHAnsi"/>
                <w:szCs w:val="24"/>
              </w:rPr>
              <w:t xml:space="preserve"> to approve the Annual Accounts and Annual Report. </w:t>
            </w:r>
          </w:p>
        </w:tc>
      </w:tr>
      <w:tr w:rsidR="00E629BD" w:rsidRPr="00973C44" w14:paraId="24E00209" w14:textId="77777777" w:rsidTr="003F080E">
        <w:trPr>
          <w:trHeight w:val="667"/>
        </w:trPr>
        <w:tc>
          <w:tcPr>
            <w:tcW w:w="10176" w:type="dxa"/>
            <w:gridSpan w:val="8"/>
            <w:tcBorders>
              <w:top w:val="single" w:sz="4" w:space="0" w:color="auto"/>
              <w:left w:val="single" w:sz="4" w:space="0" w:color="auto"/>
              <w:bottom w:val="single" w:sz="4" w:space="0" w:color="auto"/>
              <w:right w:val="single" w:sz="4" w:space="0" w:color="auto"/>
            </w:tcBorders>
          </w:tcPr>
          <w:p w14:paraId="73B2F7E0" w14:textId="77777777" w:rsidR="00E629BD" w:rsidRPr="00E629BD" w:rsidRDefault="00E629BD" w:rsidP="003F080E">
            <w:pPr>
              <w:spacing w:before="0" w:after="0"/>
              <w:rPr>
                <w:rFonts w:cstheme="minorHAnsi"/>
                <w:b/>
                <w:szCs w:val="24"/>
              </w:rPr>
            </w:pPr>
            <w:r w:rsidRPr="00E629BD">
              <w:rPr>
                <w:rFonts w:cstheme="minorHAnsi"/>
                <w:b/>
                <w:szCs w:val="24"/>
              </w:rPr>
              <w:t>Quality implications</w:t>
            </w:r>
          </w:p>
          <w:p w14:paraId="33DC48C2" w14:textId="77777777" w:rsidR="00E629BD" w:rsidRPr="00E629BD" w:rsidRDefault="00E629BD" w:rsidP="003F080E">
            <w:pPr>
              <w:spacing w:before="0" w:after="0"/>
              <w:rPr>
                <w:rFonts w:cstheme="minorHAnsi"/>
                <w:b/>
                <w:szCs w:val="24"/>
              </w:rPr>
            </w:pPr>
            <w:r w:rsidRPr="00E629BD">
              <w:rPr>
                <w:rFonts w:cstheme="minorHAnsi"/>
                <w:szCs w:val="24"/>
              </w:rPr>
              <w:t>Patient safety has been considered in the allocation of budgets.</w:t>
            </w:r>
          </w:p>
        </w:tc>
      </w:tr>
      <w:tr w:rsidR="00E629BD" w:rsidRPr="00973C44" w14:paraId="047377B6" w14:textId="77777777" w:rsidTr="003F080E">
        <w:trPr>
          <w:trHeight w:val="1002"/>
        </w:trPr>
        <w:tc>
          <w:tcPr>
            <w:tcW w:w="10176" w:type="dxa"/>
            <w:gridSpan w:val="8"/>
            <w:tcBorders>
              <w:top w:val="single" w:sz="4" w:space="0" w:color="auto"/>
              <w:left w:val="single" w:sz="4" w:space="0" w:color="auto"/>
              <w:bottom w:val="single" w:sz="4" w:space="0" w:color="auto"/>
              <w:right w:val="single" w:sz="4" w:space="0" w:color="auto"/>
            </w:tcBorders>
          </w:tcPr>
          <w:p w14:paraId="40BAD8A7" w14:textId="77777777" w:rsidR="00E629BD" w:rsidRPr="00E629BD" w:rsidRDefault="00E629BD" w:rsidP="003F080E">
            <w:pPr>
              <w:spacing w:before="0" w:after="0"/>
              <w:rPr>
                <w:rFonts w:cstheme="minorHAnsi"/>
                <w:b/>
                <w:szCs w:val="24"/>
              </w:rPr>
            </w:pPr>
            <w:r w:rsidRPr="00E629BD">
              <w:rPr>
                <w:rFonts w:cstheme="minorHAnsi"/>
                <w:b/>
                <w:szCs w:val="24"/>
              </w:rPr>
              <w:t>Financial implications</w:t>
            </w:r>
          </w:p>
          <w:p w14:paraId="5B166026" w14:textId="77777777" w:rsidR="00E629BD" w:rsidRPr="00E629BD" w:rsidRDefault="00E629BD" w:rsidP="003F080E">
            <w:pPr>
              <w:spacing w:before="0" w:after="0"/>
              <w:rPr>
                <w:rFonts w:cstheme="minorHAnsi"/>
                <w:b/>
                <w:szCs w:val="24"/>
              </w:rPr>
            </w:pPr>
            <w:r w:rsidRPr="00E629BD">
              <w:rPr>
                <w:rFonts w:cstheme="minorHAnsi"/>
                <w:szCs w:val="24"/>
              </w:rPr>
              <w:t xml:space="preserve">Delivery of the financial control total will result in the Trust being </w:t>
            </w:r>
            <w:r w:rsidR="001D7D18">
              <w:rPr>
                <w:rFonts w:cstheme="minorHAnsi"/>
                <w:szCs w:val="24"/>
              </w:rPr>
              <w:t>able to</w:t>
            </w:r>
            <w:r w:rsidRPr="00E629BD">
              <w:rPr>
                <w:rFonts w:cstheme="minorHAnsi"/>
                <w:szCs w:val="24"/>
              </w:rPr>
              <w:t xml:space="preserve"> support its future development.</w:t>
            </w:r>
          </w:p>
        </w:tc>
      </w:tr>
      <w:tr w:rsidR="00E629BD" w:rsidRPr="00973C44" w14:paraId="2084AE78" w14:textId="77777777" w:rsidTr="003F080E">
        <w:trPr>
          <w:trHeight w:val="974"/>
        </w:trPr>
        <w:tc>
          <w:tcPr>
            <w:tcW w:w="10176" w:type="dxa"/>
            <w:gridSpan w:val="8"/>
            <w:tcBorders>
              <w:top w:val="single" w:sz="4" w:space="0" w:color="auto"/>
              <w:left w:val="single" w:sz="4" w:space="0" w:color="auto"/>
              <w:bottom w:val="single" w:sz="4" w:space="0" w:color="auto"/>
              <w:right w:val="single" w:sz="4" w:space="0" w:color="auto"/>
            </w:tcBorders>
          </w:tcPr>
          <w:p w14:paraId="5CC435CA" w14:textId="77777777" w:rsidR="00E629BD" w:rsidRPr="00E629BD" w:rsidRDefault="00E629BD" w:rsidP="003F080E">
            <w:pPr>
              <w:spacing w:before="0" w:after="0"/>
              <w:rPr>
                <w:rFonts w:cstheme="minorHAnsi"/>
                <w:b/>
                <w:szCs w:val="24"/>
              </w:rPr>
            </w:pPr>
            <w:r w:rsidRPr="00E629BD">
              <w:rPr>
                <w:rFonts w:cstheme="minorHAnsi"/>
                <w:b/>
                <w:szCs w:val="24"/>
              </w:rPr>
              <w:t>Risk implications</w:t>
            </w:r>
          </w:p>
          <w:p w14:paraId="6E507AD2" w14:textId="77777777" w:rsidR="00E629BD" w:rsidRPr="00E629BD" w:rsidRDefault="00E629BD" w:rsidP="003F080E">
            <w:pPr>
              <w:spacing w:before="0" w:after="0"/>
              <w:rPr>
                <w:rFonts w:cstheme="minorHAnsi"/>
                <w:b/>
                <w:szCs w:val="24"/>
              </w:rPr>
            </w:pPr>
            <w:r w:rsidRPr="00E629BD">
              <w:rPr>
                <w:rFonts w:cstheme="minorHAnsi"/>
                <w:szCs w:val="24"/>
              </w:rPr>
              <w:t>Potential risks have been considered within the reported financial position and the financial risk register is discussed at the Audit Committee.</w:t>
            </w:r>
          </w:p>
        </w:tc>
      </w:tr>
      <w:tr w:rsidR="00E629BD" w:rsidRPr="00973C44" w14:paraId="219ADE1F" w14:textId="77777777" w:rsidTr="00F62A25">
        <w:trPr>
          <w:trHeight w:val="1007"/>
        </w:trPr>
        <w:tc>
          <w:tcPr>
            <w:tcW w:w="10176" w:type="dxa"/>
            <w:gridSpan w:val="8"/>
            <w:tcBorders>
              <w:top w:val="single" w:sz="4" w:space="0" w:color="auto"/>
              <w:left w:val="single" w:sz="4" w:space="0" w:color="auto"/>
              <w:bottom w:val="single" w:sz="4" w:space="0" w:color="auto"/>
              <w:right w:val="single" w:sz="4" w:space="0" w:color="auto"/>
            </w:tcBorders>
          </w:tcPr>
          <w:p w14:paraId="1D2605E4" w14:textId="77777777" w:rsidR="00E629BD" w:rsidRPr="00E629BD" w:rsidRDefault="00E629BD" w:rsidP="003F080E">
            <w:pPr>
              <w:spacing w:before="0" w:after="0"/>
              <w:rPr>
                <w:rFonts w:cstheme="minorHAnsi"/>
                <w:b/>
                <w:szCs w:val="24"/>
              </w:rPr>
            </w:pPr>
            <w:r w:rsidRPr="00E629BD">
              <w:rPr>
                <w:rFonts w:cstheme="minorHAnsi"/>
                <w:b/>
                <w:szCs w:val="24"/>
              </w:rPr>
              <w:t>Action Required/Recommendation</w:t>
            </w:r>
          </w:p>
          <w:p w14:paraId="56BCBC91" w14:textId="45E0AEA9" w:rsidR="00E629BD" w:rsidRPr="00E629BD" w:rsidRDefault="00086D42" w:rsidP="0045405E">
            <w:pPr>
              <w:spacing w:before="0" w:after="0"/>
              <w:rPr>
                <w:rFonts w:cstheme="minorHAnsi"/>
                <w:szCs w:val="24"/>
              </w:rPr>
            </w:pPr>
            <w:r>
              <w:rPr>
                <w:rFonts w:cstheme="minorHAnsi"/>
                <w:szCs w:val="24"/>
              </w:rPr>
              <w:t xml:space="preserve">The Board </w:t>
            </w:r>
            <w:r w:rsidR="00BD71EF">
              <w:rPr>
                <w:rFonts w:cstheme="minorHAnsi"/>
                <w:szCs w:val="24"/>
              </w:rPr>
              <w:t xml:space="preserve">is asked </w:t>
            </w:r>
            <w:r>
              <w:rPr>
                <w:rFonts w:cstheme="minorHAnsi"/>
                <w:szCs w:val="24"/>
              </w:rPr>
              <w:t>to approve the Annual Accounts and Annual Report.</w:t>
            </w:r>
          </w:p>
        </w:tc>
      </w:tr>
      <w:tr w:rsidR="00E629BD" w:rsidRPr="00973C44" w14:paraId="7D3EC5FD" w14:textId="77777777" w:rsidTr="00E629BD">
        <w:tc>
          <w:tcPr>
            <w:tcW w:w="2405" w:type="dxa"/>
            <w:tcBorders>
              <w:top w:val="single" w:sz="4" w:space="0" w:color="auto"/>
              <w:left w:val="single" w:sz="4" w:space="0" w:color="auto"/>
              <w:bottom w:val="single" w:sz="4" w:space="0" w:color="auto"/>
              <w:right w:val="single" w:sz="4" w:space="0" w:color="auto"/>
            </w:tcBorders>
            <w:vAlign w:val="center"/>
          </w:tcPr>
          <w:p w14:paraId="4D47FDC3" w14:textId="77777777" w:rsidR="00E629BD" w:rsidRPr="00E629BD" w:rsidRDefault="00E629BD" w:rsidP="00654007">
            <w:pPr>
              <w:jc w:val="right"/>
              <w:rPr>
                <w:rFonts w:cstheme="minorHAnsi"/>
                <w:b/>
                <w:szCs w:val="24"/>
              </w:rPr>
            </w:pPr>
            <w:r w:rsidRPr="00E629BD">
              <w:rPr>
                <w:rFonts w:cstheme="minorHAnsi"/>
                <w:b/>
                <w:szCs w:val="24"/>
              </w:rPr>
              <w:t>For Assurance</w:t>
            </w:r>
          </w:p>
        </w:tc>
        <w:tc>
          <w:tcPr>
            <w:tcW w:w="466" w:type="dxa"/>
            <w:tcBorders>
              <w:top w:val="single" w:sz="4" w:space="0" w:color="auto"/>
              <w:left w:val="single" w:sz="4" w:space="0" w:color="auto"/>
              <w:bottom w:val="single" w:sz="4" w:space="0" w:color="auto"/>
              <w:right w:val="single" w:sz="4" w:space="0" w:color="auto"/>
            </w:tcBorders>
            <w:vAlign w:val="center"/>
          </w:tcPr>
          <w:p w14:paraId="5DDF0C03" w14:textId="77777777" w:rsidR="00E629BD" w:rsidRPr="00E629BD" w:rsidRDefault="00E629BD" w:rsidP="00654007">
            <w:pPr>
              <w:jc w:val="right"/>
              <w:rPr>
                <w:rFonts w:cstheme="minorHAnsi"/>
                <w:b/>
                <w:szCs w:val="24"/>
              </w:rPr>
            </w:pPr>
          </w:p>
        </w:tc>
        <w:tc>
          <w:tcPr>
            <w:tcW w:w="2023" w:type="dxa"/>
            <w:tcBorders>
              <w:top w:val="single" w:sz="4" w:space="0" w:color="auto"/>
              <w:left w:val="single" w:sz="4" w:space="0" w:color="auto"/>
              <w:bottom w:val="single" w:sz="4" w:space="0" w:color="auto"/>
              <w:right w:val="single" w:sz="4" w:space="0" w:color="auto"/>
            </w:tcBorders>
            <w:vAlign w:val="center"/>
          </w:tcPr>
          <w:p w14:paraId="50DCB7B0" w14:textId="77777777" w:rsidR="00E629BD" w:rsidRPr="00E629BD" w:rsidRDefault="00E629BD" w:rsidP="00654007">
            <w:pPr>
              <w:jc w:val="right"/>
              <w:rPr>
                <w:rFonts w:cstheme="minorHAnsi"/>
                <w:b/>
                <w:szCs w:val="24"/>
              </w:rPr>
            </w:pPr>
            <w:r w:rsidRPr="00E629BD">
              <w:rPr>
                <w:rFonts w:cstheme="minorHAnsi"/>
                <w:b/>
                <w:szCs w:val="24"/>
              </w:rPr>
              <w:t>For decision</w:t>
            </w:r>
          </w:p>
        </w:tc>
        <w:tc>
          <w:tcPr>
            <w:tcW w:w="411" w:type="dxa"/>
            <w:tcBorders>
              <w:top w:val="single" w:sz="4" w:space="0" w:color="auto"/>
              <w:left w:val="single" w:sz="4" w:space="0" w:color="auto"/>
              <w:bottom w:val="single" w:sz="4" w:space="0" w:color="auto"/>
              <w:right w:val="single" w:sz="4" w:space="0" w:color="auto"/>
            </w:tcBorders>
            <w:vAlign w:val="center"/>
          </w:tcPr>
          <w:p w14:paraId="3E7FCAA8" w14:textId="77777777" w:rsidR="00E629BD" w:rsidRPr="00E629BD" w:rsidRDefault="00E629BD" w:rsidP="00654007">
            <w:pPr>
              <w:jc w:val="right"/>
              <w:rPr>
                <w:rFonts w:cstheme="minorHAnsi"/>
                <w:b/>
                <w:szCs w:val="24"/>
              </w:rPr>
            </w:pPr>
          </w:p>
        </w:tc>
        <w:tc>
          <w:tcPr>
            <w:tcW w:w="2139" w:type="dxa"/>
            <w:tcBorders>
              <w:top w:val="single" w:sz="4" w:space="0" w:color="auto"/>
              <w:left w:val="single" w:sz="4" w:space="0" w:color="auto"/>
              <w:bottom w:val="single" w:sz="4" w:space="0" w:color="auto"/>
              <w:right w:val="single" w:sz="4" w:space="0" w:color="auto"/>
            </w:tcBorders>
            <w:vAlign w:val="center"/>
          </w:tcPr>
          <w:p w14:paraId="478E6234" w14:textId="77777777" w:rsidR="00E629BD" w:rsidRPr="00E629BD" w:rsidRDefault="00E629BD" w:rsidP="00654007">
            <w:pPr>
              <w:jc w:val="right"/>
              <w:rPr>
                <w:rFonts w:cstheme="minorHAnsi"/>
                <w:b/>
                <w:szCs w:val="24"/>
              </w:rPr>
            </w:pPr>
            <w:r w:rsidRPr="00E629BD">
              <w:rPr>
                <w:rFonts w:cstheme="minorHAnsi"/>
                <w:b/>
                <w:szCs w:val="24"/>
              </w:rPr>
              <w:t>For discussion</w:t>
            </w:r>
          </w:p>
        </w:tc>
        <w:tc>
          <w:tcPr>
            <w:tcW w:w="509" w:type="dxa"/>
            <w:tcBorders>
              <w:top w:val="single" w:sz="4" w:space="0" w:color="auto"/>
              <w:left w:val="single" w:sz="4" w:space="0" w:color="auto"/>
              <w:bottom w:val="single" w:sz="4" w:space="0" w:color="auto"/>
              <w:right w:val="single" w:sz="4" w:space="0" w:color="auto"/>
            </w:tcBorders>
            <w:vAlign w:val="center"/>
          </w:tcPr>
          <w:p w14:paraId="3C5A3032" w14:textId="77777777" w:rsidR="00E629BD" w:rsidRPr="00E629BD" w:rsidRDefault="00E629BD" w:rsidP="00654007">
            <w:pPr>
              <w:jc w:val="right"/>
              <w:rPr>
                <w:rFonts w:cstheme="minorHAnsi"/>
                <w:b/>
                <w:szCs w:val="24"/>
              </w:rPr>
            </w:pPr>
            <w:r w:rsidRPr="00E629BD">
              <w:rPr>
                <w:rFonts w:cstheme="minorHAnsi"/>
                <w:b/>
                <w:szCs w:val="24"/>
              </w:rPr>
              <w:sym w:font="Wingdings" w:char="F0FC"/>
            </w:r>
          </w:p>
        </w:tc>
        <w:tc>
          <w:tcPr>
            <w:tcW w:w="1834" w:type="dxa"/>
            <w:tcBorders>
              <w:top w:val="single" w:sz="4" w:space="0" w:color="auto"/>
              <w:left w:val="single" w:sz="4" w:space="0" w:color="auto"/>
              <w:bottom w:val="single" w:sz="4" w:space="0" w:color="auto"/>
              <w:right w:val="single" w:sz="4" w:space="0" w:color="auto"/>
            </w:tcBorders>
            <w:vAlign w:val="center"/>
          </w:tcPr>
          <w:p w14:paraId="6AF7B6B1" w14:textId="77777777" w:rsidR="00E629BD" w:rsidRPr="00E629BD" w:rsidRDefault="00E629BD" w:rsidP="00654007">
            <w:pPr>
              <w:jc w:val="right"/>
              <w:rPr>
                <w:rFonts w:cstheme="minorHAnsi"/>
                <w:b/>
                <w:szCs w:val="24"/>
              </w:rPr>
            </w:pPr>
            <w:r w:rsidRPr="00E629BD">
              <w:rPr>
                <w:rFonts w:cstheme="minorHAnsi"/>
                <w:b/>
                <w:szCs w:val="24"/>
              </w:rPr>
              <w:t>To note</w:t>
            </w:r>
          </w:p>
        </w:tc>
        <w:tc>
          <w:tcPr>
            <w:tcW w:w="389" w:type="dxa"/>
            <w:tcBorders>
              <w:top w:val="single" w:sz="4" w:space="0" w:color="auto"/>
              <w:left w:val="single" w:sz="4" w:space="0" w:color="auto"/>
              <w:bottom w:val="single" w:sz="4" w:space="0" w:color="auto"/>
              <w:right w:val="single" w:sz="4" w:space="0" w:color="auto"/>
            </w:tcBorders>
            <w:vAlign w:val="center"/>
          </w:tcPr>
          <w:p w14:paraId="3C289DE9" w14:textId="77777777" w:rsidR="00E629BD" w:rsidRPr="00E629BD" w:rsidRDefault="00E629BD" w:rsidP="00654007">
            <w:pPr>
              <w:rPr>
                <w:rFonts w:cstheme="minorHAnsi"/>
                <w:b/>
                <w:szCs w:val="24"/>
              </w:rPr>
            </w:pPr>
            <w:r w:rsidRPr="00E629BD">
              <w:rPr>
                <w:rFonts w:cstheme="minorHAnsi"/>
                <w:b/>
                <w:szCs w:val="24"/>
              </w:rPr>
              <w:sym w:font="Wingdings" w:char="F0FC"/>
            </w:r>
          </w:p>
        </w:tc>
      </w:tr>
    </w:tbl>
    <w:p w14:paraId="6C3E6CA6" w14:textId="77777777" w:rsidR="00A92694" w:rsidRDefault="00A92694" w:rsidP="00CE087C">
      <w:pPr>
        <w:pStyle w:val="Heading1"/>
        <w:numPr>
          <w:ilvl w:val="0"/>
          <w:numId w:val="0"/>
        </w:numPr>
        <w:ind w:left="284"/>
      </w:pPr>
    </w:p>
    <w:p w14:paraId="31DB1251" w14:textId="77777777" w:rsidR="00A92694" w:rsidRDefault="00A92694">
      <w:pPr>
        <w:spacing w:before="0" w:after="200" w:line="276" w:lineRule="auto"/>
        <w:jc w:val="left"/>
        <w:rPr>
          <w:b/>
          <w:sz w:val="32"/>
        </w:rPr>
      </w:pPr>
      <w:r>
        <w:br w:type="page"/>
      </w:r>
    </w:p>
    <w:p w14:paraId="3C5A8A90" w14:textId="5CB95C66" w:rsidR="00CE087C" w:rsidRDefault="00CE087C" w:rsidP="00CE087C">
      <w:pPr>
        <w:pStyle w:val="Heading1"/>
        <w:numPr>
          <w:ilvl w:val="0"/>
          <w:numId w:val="0"/>
        </w:numPr>
        <w:ind w:left="284"/>
      </w:pPr>
      <w:r>
        <w:lastRenderedPageBreak/>
        <w:t>20</w:t>
      </w:r>
      <w:r w:rsidR="0045405E">
        <w:t>2</w:t>
      </w:r>
      <w:r w:rsidR="00DD3CE0">
        <w:t>1</w:t>
      </w:r>
      <w:r>
        <w:t>-2</w:t>
      </w:r>
      <w:r w:rsidR="00DD3CE0">
        <w:t>2</w:t>
      </w:r>
      <w:r>
        <w:t xml:space="preserve"> Re</w:t>
      </w:r>
      <w:r w:rsidR="00736235">
        <w:t>view of the Annual Accounts</w:t>
      </w:r>
    </w:p>
    <w:p w14:paraId="788287AE" w14:textId="77777777" w:rsidR="00CE087C" w:rsidRDefault="00CE087C" w:rsidP="00CE087C">
      <w:pPr>
        <w:ind w:left="284"/>
        <w:rPr>
          <w:rFonts w:cstheme="minorHAnsi"/>
          <w:szCs w:val="24"/>
        </w:rPr>
      </w:pPr>
    </w:p>
    <w:p w14:paraId="429C2874" w14:textId="77777777" w:rsidR="00CE087C" w:rsidRPr="00DD624F" w:rsidRDefault="00CE087C" w:rsidP="00CE087C">
      <w:pPr>
        <w:keepNext/>
        <w:ind w:left="284"/>
        <w:outlineLvl w:val="0"/>
        <w:rPr>
          <w:b/>
          <w:sz w:val="32"/>
        </w:rPr>
      </w:pPr>
      <w:r>
        <w:rPr>
          <w:b/>
          <w:sz w:val="32"/>
        </w:rPr>
        <w:t>Summary</w:t>
      </w:r>
    </w:p>
    <w:p w14:paraId="7BC8C8EC" w14:textId="18F04CEA" w:rsidR="00736235" w:rsidRDefault="00736235" w:rsidP="00C23045">
      <w:pPr>
        <w:ind w:left="284"/>
        <w:rPr>
          <w:rFonts w:cstheme="minorHAnsi"/>
          <w:szCs w:val="24"/>
        </w:rPr>
      </w:pPr>
      <w:r w:rsidRPr="00736235">
        <w:rPr>
          <w:rFonts w:cstheme="minorHAnsi"/>
          <w:szCs w:val="24"/>
        </w:rPr>
        <w:t>This paper is intended to su</w:t>
      </w:r>
      <w:r w:rsidR="00340879">
        <w:rPr>
          <w:rFonts w:cstheme="minorHAnsi"/>
          <w:szCs w:val="24"/>
        </w:rPr>
        <w:t>pplement the Annual Report and Annual Accounts</w:t>
      </w:r>
      <w:r w:rsidRPr="00736235">
        <w:rPr>
          <w:rFonts w:cstheme="minorHAnsi"/>
          <w:szCs w:val="24"/>
        </w:rPr>
        <w:t xml:space="preserve"> to provide commentary to the </w:t>
      </w:r>
      <w:r w:rsidR="009C412E">
        <w:rPr>
          <w:rFonts w:cstheme="minorHAnsi"/>
          <w:szCs w:val="24"/>
        </w:rPr>
        <w:t>Board</w:t>
      </w:r>
      <w:r w:rsidR="00340879">
        <w:rPr>
          <w:rFonts w:cstheme="minorHAnsi"/>
          <w:szCs w:val="24"/>
        </w:rPr>
        <w:t xml:space="preserve"> on the major items of</w:t>
      </w:r>
      <w:r w:rsidRPr="00736235">
        <w:rPr>
          <w:rFonts w:cstheme="minorHAnsi"/>
          <w:szCs w:val="24"/>
        </w:rPr>
        <w:t xml:space="preserve"> note in the 20</w:t>
      </w:r>
      <w:r w:rsidR="004C7D7E">
        <w:rPr>
          <w:rFonts w:cstheme="minorHAnsi"/>
          <w:szCs w:val="24"/>
        </w:rPr>
        <w:t>2</w:t>
      </w:r>
      <w:r w:rsidR="00DD3CE0">
        <w:rPr>
          <w:rFonts w:cstheme="minorHAnsi"/>
          <w:szCs w:val="24"/>
        </w:rPr>
        <w:t>1</w:t>
      </w:r>
      <w:r w:rsidR="00CC1143">
        <w:rPr>
          <w:rFonts w:cstheme="minorHAnsi"/>
          <w:szCs w:val="24"/>
        </w:rPr>
        <w:t>/2</w:t>
      </w:r>
      <w:r w:rsidR="00DD3CE0">
        <w:rPr>
          <w:rFonts w:cstheme="minorHAnsi"/>
          <w:szCs w:val="24"/>
        </w:rPr>
        <w:t>2</w:t>
      </w:r>
      <w:r w:rsidRPr="00736235">
        <w:rPr>
          <w:rFonts w:cstheme="minorHAnsi"/>
          <w:szCs w:val="24"/>
        </w:rPr>
        <w:t xml:space="preserve"> Annual Accounts. This covers the primary statements of the accounts and any other material points.</w:t>
      </w:r>
      <w:r w:rsidR="006C6506">
        <w:rPr>
          <w:rFonts w:cstheme="minorHAnsi"/>
          <w:szCs w:val="24"/>
        </w:rPr>
        <w:t xml:space="preserve"> A full set of the Annual Accounts are provided in Appendix A.</w:t>
      </w:r>
    </w:p>
    <w:p w14:paraId="60D0FD51" w14:textId="77777777" w:rsidR="00C23045" w:rsidRPr="00C23045" w:rsidRDefault="00C23045" w:rsidP="00B951F0">
      <w:pPr>
        <w:keepNext/>
        <w:spacing w:before="0" w:after="0"/>
        <w:outlineLvl w:val="0"/>
        <w:rPr>
          <w:b/>
          <w:szCs w:val="24"/>
        </w:rPr>
      </w:pPr>
    </w:p>
    <w:p w14:paraId="4C9308BB" w14:textId="77777777" w:rsidR="006179AB" w:rsidRPr="00DD624F" w:rsidRDefault="00736235" w:rsidP="006179AB">
      <w:pPr>
        <w:keepNext/>
        <w:ind w:left="284"/>
        <w:outlineLvl w:val="0"/>
        <w:rPr>
          <w:b/>
          <w:sz w:val="32"/>
        </w:rPr>
      </w:pPr>
      <w:r w:rsidRPr="00736235">
        <w:rPr>
          <w:b/>
          <w:sz w:val="32"/>
        </w:rPr>
        <w:t xml:space="preserve">Statement </w:t>
      </w:r>
      <w:r w:rsidR="0078251D">
        <w:rPr>
          <w:b/>
          <w:sz w:val="32"/>
        </w:rPr>
        <w:t>o</w:t>
      </w:r>
      <w:r w:rsidR="00340879">
        <w:rPr>
          <w:b/>
          <w:sz w:val="32"/>
        </w:rPr>
        <w:t xml:space="preserve">f Comprehensive Income </w:t>
      </w:r>
    </w:p>
    <w:p w14:paraId="3FC2D4E3" w14:textId="6B882340" w:rsidR="00736235" w:rsidRDefault="00736235" w:rsidP="009A3D86">
      <w:pPr>
        <w:ind w:left="284"/>
        <w:rPr>
          <w:rFonts w:cstheme="minorHAnsi"/>
          <w:szCs w:val="24"/>
        </w:rPr>
      </w:pPr>
      <w:r w:rsidRPr="00736235">
        <w:rPr>
          <w:rFonts w:cstheme="minorHAnsi"/>
          <w:szCs w:val="24"/>
        </w:rPr>
        <w:t xml:space="preserve">This </w:t>
      </w:r>
      <w:r w:rsidR="00A92694" w:rsidRPr="00A92694">
        <w:rPr>
          <w:rFonts w:cstheme="minorHAnsi"/>
          <w:szCs w:val="24"/>
        </w:rPr>
        <w:t>Statement of Comprehensive Income (SOCI)</w:t>
      </w:r>
      <w:r w:rsidR="00A92694">
        <w:rPr>
          <w:rFonts w:cstheme="minorHAnsi"/>
          <w:szCs w:val="24"/>
        </w:rPr>
        <w:t xml:space="preserve"> reports</w:t>
      </w:r>
      <w:r w:rsidRPr="00736235">
        <w:rPr>
          <w:rFonts w:cstheme="minorHAnsi"/>
          <w:szCs w:val="24"/>
        </w:rPr>
        <w:t xml:space="preserve"> the high</w:t>
      </w:r>
      <w:r w:rsidR="009956B1">
        <w:rPr>
          <w:rFonts w:cstheme="minorHAnsi"/>
          <w:szCs w:val="24"/>
        </w:rPr>
        <w:t>-</w:t>
      </w:r>
      <w:r w:rsidRPr="00736235">
        <w:rPr>
          <w:rFonts w:cstheme="minorHAnsi"/>
          <w:szCs w:val="24"/>
        </w:rPr>
        <w:t>level summary of income and expenses for the year, along with interest charges and dividends. In addition</w:t>
      </w:r>
      <w:r w:rsidR="00340879">
        <w:rPr>
          <w:rFonts w:cstheme="minorHAnsi"/>
          <w:szCs w:val="24"/>
        </w:rPr>
        <w:t>,</w:t>
      </w:r>
      <w:r w:rsidRPr="00736235">
        <w:rPr>
          <w:rFonts w:cstheme="minorHAnsi"/>
          <w:szCs w:val="24"/>
        </w:rPr>
        <w:t xml:space="preserve"> it shows property revaluation impacts that do not flow directly to the bottom</w:t>
      </w:r>
      <w:r w:rsidR="009956B1">
        <w:rPr>
          <w:rFonts w:cstheme="minorHAnsi"/>
          <w:szCs w:val="24"/>
        </w:rPr>
        <w:t>-</w:t>
      </w:r>
      <w:r w:rsidRPr="00736235">
        <w:rPr>
          <w:rFonts w:cstheme="minorHAnsi"/>
          <w:szCs w:val="24"/>
        </w:rPr>
        <w:t>line surplus of the Trust.</w:t>
      </w:r>
    </w:p>
    <w:p w14:paraId="306DD1F9" w14:textId="3C716403" w:rsidR="0078251D" w:rsidRDefault="006179AB" w:rsidP="006179AB">
      <w:pPr>
        <w:ind w:left="284"/>
        <w:rPr>
          <w:rFonts w:cstheme="minorHAnsi"/>
          <w:szCs w:val="24"/>
        </w:rPr>
      </w:pPr>
      <w:r w:rsidRPr="00C60920">
        <w:rPr>
          <w:rFonts w:cstheme="minorHAnsi"/>
          <w:szCs w:val="24"/>
        </w:rPr>
        <w:t xml:space="preserve">A summary </w:t>
      </w:r>
      <w:r w:rsidR="0078251D" w:rsidRPr="00C60920">
        <w:rPr>
          <w:rFonts w:cstheme="minorHAnsi"/>
          <w:szCs w:val="24"/>
        </w:rPr>
        <w:t>of the surplus</w:t>
      </w:r>
      <w:r w:rsidR="00340879" w:rsidRPr="00C60920">
        <w:rPr>
          <w:rFonts w:cstheme="minorHAnsi"/>
          <w:szCs w:val="24"/>
        </w:rPr>
        <w:t xml:space="preserve"> for the year is</w:t>
      </w:r>
      <w:r w:rsidR="0078251D" w:rsidRPr="00C60920">
        <w:rPr>
          <w:rFonts w:cstheme="minorHAnsi"/>
          <w:szCs w:val="24"/>
        </w:rPr>
        <w:t xml:space="preserve"> shown below</w:t>
      </w:r>
      <w:r w:rsidR="009956B1">
        <w:rPr>
          <w:rFonts w:cstheme="minorHAnsi"/>
          <w:szCs w:val="24"/>
        </w:rPr>
        <w:t>:-</w:t>
      </w:r>
    </w:p>
    <w:p w14:paraId="001CF834" w14:textId="77777777" w:rsidR="006179AB" w:rsidRDefault="006179AB" w:rsidP="006179AB">
      <w:pPr>
        <w:ind w:left="284"/>
        <w:rPr>
          <w:rFonts w:cstheme="minorHAnsi"/>
          <w:szCs w:val="24"/>
        </w:rPr>
      </w:pPr>
    </w:p>
    <w:p w14:paraId="726AA5F3" w14:textId="69431D94" w:rsidR="006179AB" w:rsidRDefault="004758B2" w:rsidP="006179AB">
      <w:pPr>
        <w:ind w:left="284"/>
        <w:rPr>
          <w:rFonts w:cstheme="minorHAnsi"/>
          <w:szCs w:val="24"/>
        </w:rPr>
      </w:pPr>
      <w:r w:rsidRPr="004758B2">
        <w:rPr>
          <w:noProof/>
        </w:rPr>
        <w:drawing>
          <wp:inline distT="0" distB="0" distL="0" distR="0" wp14:anchorId="4ED29A92" wp14:editId="3239DB37">
            <wp:extent cx="6473825" cy="4799965"/>
            <wp:effectExtent l="0" t="0" r="3175" b="635"/>
            <wp:docPr id="1"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with medium confidence"/>
                    <pic:cNvPicPr/>
                  </pic:nvPicPr>
                  <pic:blipFill>
                    <a:blip r:embed="rId8"/>
                    <a:stretch>
                      <a:fillRect/>
                    </a:stretch>
                  </pic:blipFill>
                  <pic:spPr>
                    <a:xfrm>
                      <a:off x="0" y="0"/>
                      <a:ext cx="6473825" cy="4799965"/>
                    </a:xfrm>
                    <a:prstGeom prst="rect">
                      <a:avLst/>
                    </a:prstGeom>
                  </pic:spPr>
                </pic:pic>
              </a:graphicData>
            </a:graphic>
          </wp:inline>
        </w:drawing>
      </w:r>
    </w:p>
    <w:p w14:paraId="006D4AED" w14:textId="77777777" w:rsidR="006179AB" w:rsidRDefault="006179AB">
      <w:pPr>
        <w:spacing w:before="0" w:after="200" w:line="276" w:lineRule="auto"/>
        <w:jc w:val="left"/>
        <w:rPr>
          <w:b/>
          <w:sz w:val="32"/>
        </w:rPr>
      </w:pPr>
    </w:p>
    <w:p w14:paraId="7BE01A52" w14:textId="77777777" w:rsidR="00B951F0" w:rsidRDefault="00B951F0">
      <w:pPr>
        <w:spacing w:before="0" w:after="200" w:line="276" w:lineRule="auto"/>
        <w:jc w:val="left"/>
        <w:rPr>
          <w:b/>
          <w:sz w:val="32"/>
        </w:rPr>
      </w:pPr>
      <w:r>
        <w:rPr>
          <w:b/>
          <w:sz w:val="32"/>
        </w:rPr>
        <w:br w:type="page"/>
      </w:r>
    </w:p>
    <w:p w14:paraId="5F5EACC8" w14:textId="77777777" w:rsidR="008B5C54" w:rsidRDefault="008B5C54" w:rsidP="008B5C54">
      <w:pPr>
        <w:ind w:left="284" w:right="130"/>
      </w:pPr>
    </w:p>
    <w:p w14:paraId="4E1756BD" w14:textId="77777777" w:rsidR="008B5C54" w:rsidRPr="00A57F63" w:rsidRDefault="0078251D" w:rsidP="008B5C54">
      <w:pPr>
        <w:keepNext/>
        <w:ind w:left="284"/>
        <w:outlineLvl w:val="0"/>
        <w:rPr>
          <w:b/>
          <w:sz w:val="32"/>
        </w:rPr>
      </w:pPr>
      <w:r w:rsidRPr="00A57F63">
        <w:rPr>
          <w:b/>
          <w:sz w:val="32"/>
        </w:rPr>
        <w:t>Major points to Note</w:t>
      </w:r>
    </w:p>
    <w:p w14:paraId="70676195" w14:textId="77777777" w:rsidR="00CE087C" w:rsidRPr="00A57F63" w:rsidRDefault="00CE087C" w:rsidP="00CE087C">
      <w:pPr>
        <w:ind w:left="284"/>
        <w:rPr>
          <w:rFonts w:cstheme="minorHAnsi"/>
          <w:szCs w:val="24"/>
        </w:rPr>
      </w:pPr>
    </w:p>
    <w:tbl>
      <w:tblPr>
        <w:tblStyle w:val="TableGrid"/>
        <w:tblW w:w="0" w:type="auto"/>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2277"/>
        <w:gridCol w:w="1077"/>
        <w:gridCol w:w="6557"/>
      </w:tblGrid>
      <w:tr w:rsidR="00CE087C" w:rsidRPr="00A57F63" w14:paraId="6A1E0E2D" w14:textId="77777777" w:rsidTr="00337C16">
        <w:tc>
          <w:tcPr>
            <w:tcW w:w="0" w:type="auto"/>
            <w:tcBorders>
              <w:top w:val="single" w:sz="4" w:space="0" w:color="auto"/>
              <w:left w:val="nil"/>
              <w:bottom w:val="single" w:sz="4" w:space="0" w:color="auto"/>
              <w:right w:val="nil"/>
            </w:tcBorders>
            <w:hideMark/>
          </w:tcPr>
          <w:p w14:paraId="49177190" w14:textId="77777777" w:rsidR="00CE087C" w:rsidRPr="00A57F63" w:rsidRDefault="00CE087C" w:rsidP="00654007">
            <w:pPr>
              <w:tabs>
                <w:tab w:val="num" w:pos="1080"/>
              </w:tabs>
              <w:spacing w:after="0"/>
              <w:ind w:left="-110"/>
              <w:jc w:val="right"/>
              <w:rPr>
                <w:rFonts w:cstheme="minorHAnsi"/>
                <w:b/>
                <w:szCs w:val="24"/>
              </w:rPr>
            </w:pPr>
            <w:r w:rsidRPr="00A57F63">
              <w:rPr>
                <w:rFonts w:cstheme="minorHAnsi"/>
                <w:b/>
                <w:szCs w:val="24"/>
              </w:rPr>
              <w:t>Area</w:t>
            </w:r>
          </w:p>
        </w:tc>
        <w:tc>
          <w:tcPr>
            <w:tcW w:w="0" w:type="auto"/>
            <w:tcBorders>
              <w:top w:val="single" w:sz="4" w:space="0" w:color="auto"/>
              <w:left w:val="nil"/>
              <w:bottom w:val="single" w:sz="4" w:space="0" w:color="auto"/>
              <w:right w:val="nil"/>
            </w:tcBorders>
            <w:hideMark/>
          </w:tcPr>
          <w:p w14:paraId="236C7276" w14:textId="77777777" w:rsidR="00CE087C" w:rsidRPr="00A57F63" w:rsidRDefault="0078251D" w:rsidP="00654007">
            <w:pPr>
              <w:tabs>
                <w:tab w:val="num" w:pos="1080"/>
              </w:tabs>
              <w:spacing w:after="0"/>
              <w:jc w:val="right"/>
              <w:rPr>
                <w:rFonts w:cstheme="minorHAnsi"/>
                <w:b/>
                <w:szCs w:val="24"/>
              </w:rPr>
            </w:pPr>
            <w:r w:rsidRPr="00A57F63">
              <w:rPr>
                <w:rFonts w:cstheme="minorHAnsi"/>
                <w:b/>
                <w:szCs w:val="24"/>
              </w:rPr>
              <w:t xml:space="preserve">Full Year </w:t>
            </w:r>
          </w:p>
        </w:tc>
        <w:tc>
          <w:tcPr>
            <w:tcW w:w="0" w:type="auto"/>
            <w:tcBorders>
              <w:top w:val="single" w:sz="4" w:space="0" w:color="auto"/>
              <w:left w:val="nil"/>
              <w:bottom w:val="single" w:sz="4" w:space="0" w:color="auto"/>
              <w:right w:val="nil"/>
            </w:tcBorders>
            <w:hideMark/>
          </w:tcPr>
          <w:p w14:paraId="126FE7D8" w14:textId="77777777" w:rsidR="00CE087C" w:rsidRPr="00A57F63" w:rsidRDefault="00CE087C" w:rsidP="00654007">
            <w:pPr>
              <w:tabs>
                <w:tab w:val="num" w:pos="1080"/>
              </w:tabs>
              <w:spacing w:after="0"/>
              <w:ind w:left="25"/>
              <w:rPr>
                <w:rFonts w:cstheme="minorHAnsi"/>
                <w:b/>
                <w:szCs w:val="24"/>
              </w:rPr>
            </w:pPr>
            <w:r w:rsidRPr="00A57F63">
              <w:rPr>
                <w:rFonts w:cstheme="minorHAnsi"/>
                <w:b/>
                <w:szCs w:val="24"/>
              </w:rPr>
              <w:t>Description</w:t>
            </w:r>
          </w:p>
        </w:tc>
      </w:tr>
      <w:tr w:rsidR="00CE087C" w:rsidRPr="00A57F63" w14:paraId="0B3CF587" w14:textId="77777777" w:rsidTr="009C412E">
        <w:trPr>
          <w:trHeight w:val="2341"/>
        </w:trPr>
        <w:tc>
          <w:tcPr>
            <w:tcW w:w="0" w:type="auto"/>
            <w:tcBorders>
              <w:top w:val="single" w:sz="4" w:space="0" w:color="auto"/>
              <w:left w:val="nil"/>
              <w:bottom w:val="single" w:sz="4" w:space="0" w:color="auto"/>
              <w:right w:val="nil"/>
            </w:tcBorders>
          </w:tcPr>
          <w:p w14:paraId="1E12C3D8" w14:textId="77777777" w:rsidR="00CE087C" w:rsidRPr="00A57F63" w:rsidRDefault="00736235" w:rsidP="00654007">
            <w:pPr>
              <w:tabs>
                <w:tab w:val="num" w:pos="284"/>
              </w:tabs>
              <w:spacing w:after="0"/>
              <w:ind w:left="-110"/>
              <w:jc w:val="right"/>
              <w:rPr>
                <w:rFonts w:cstheme="minorHAnsi"/>
                <w:szCs w:val="24"/>
              </w:rPr>
            </w:pPr>
            <w:r w:rsidRPr="00A57F63">
              <w:rPr>
                <w:rFonts w:cstheme="minorHAnsi"/>
                <w:b/>
                <w:szCs w:val="24"/>
              </w:rPr>
              <w:t>Total comprehensive income for the year</w:t>
            </w:r>
          </w:p>
        </w:tc>
        <w:tc>
          <w:tcPr>
            <w:tcW w:w="0" w:type="auto"/>
            <w:tcBorders>
              <w:top w:val="single" w:sz="4" w:space="0" w:color="auto"/>
              <w:left w:val="nil"/>
              <w:bottom w:val="single" w:sz="4" w:space="0" w:color="auto"/>
              <w:right w:val="nil"/>
            </w:tcBorders>
            <w:hideMark/>
          </w:tcPr>
          <w:p w14:paraId="50EFF3BC" w14:textId="6E61AFB3" w:rsidR="0078251D" w:rsidRPr="00A57F63" w:rsidRDefault="00CE087C" w:rsidP="0078251D">
            <w:pPr>
              <w:tabs>
                <w:tab w:val="num" w:pos="1080"/>
              </w:tabs>
              <w:spacing w:after="0"/>
              <w:jc w:val="right"/>
              <w:rPr>
                <w:rFonts w:cstheme="minorHAnsi"/>
                <w:szCs w:val="24"/>
              </w:rPr>
            </w:pPr>
            <w:r w:rsidRPr="00A57F63">
              <w:rPr>
                <w:rFonts w:cstheme="minorHAnsi"/>
                <w:szCs w:val="24"/>
              </w:rPr>
              <w:t>£</w:t>
            </w:r>
            <w:r w:rsidR="004758B2" w:rsidRPr="00A57F63">
              <w:rPr>
                <w:rFonts w:cstheme="minorHAnsi"/>
                <w:szCs w:val="24"/>
              </w:rPr>
              <w:t>22.7</w:t>
            </w:r>
            <w:r w:rsidR="00337C16" w:rsidRPr="00A57F63">
              <w:rPr>
                <w:rFonts w:cstheme="minorHAnsi"/>
                <w:szCs w:val="24"/>
              </w:rPr>
              <w:t>m</w:t>
            </w:r>
          </w:p>
          <w:p w14:paraId="20664AF7" w14:textId="77777777" w:rsidR="00CE087C" w:rsidRPr="00A57F63" w:rsidRDefault="00CE087C" w:rsidP="0078251D">
            <w:pPr>
              <w:tabs>
                <w:tab w:val="num" w:pos="1080"/>
              </w:tabs>
              <w:spacing w:after="0"/>
              <w:jc w:val="right"/>
              <w:rPr>
                <w:rFonts w:cstheme="minorHAnsi"/>
                <w:szCs w:val="24"/>
              </w:rPr>
            </w:pPr>
          </w:p>
        </w:tc>
        <w:tc>
          <w:tcPr>
            <w:tcW w:w="0" w:type="auto"/>
            <w:tcBorders>
              <w:top w:val="single" w:sz="4" w:space="0" w:color="auto"/>
              <w:left w:val="nil"/>
              <w:bottom w:val="single" w:sz="4" w:space="0" w:color="auto"/>
              <w:right w:val="nil"/>
            </w:tcBorders>
            <w:hideMark/>
          </w:tcPr>
          <w:p w14:paraId="0F56AD24" w14:textId="2CAD843A" w:rsidR="00CE087C" w:rsidRPr="00A57F63" w:rsidRDefault="00736235" w:rsidP="00EA2F0F">
            <w:pPr>
              <w:spacing w:after="0"/>
              <w:ind w:left="25"/>
              <w:rPr>
                <w:rFonts w:cstheme="minorHAnsi"/>
                <w:szCs w:val="24"/>
              </w:rPr>
            </w:pPr>
            <w:r w:rsidRPr="00A57F63">
              <w:rPr>
                <w:rFonts w:cstheme="minorHAnsi"/>
                <w:szCs w:val="24"/>
              </w:rPr>
              <w:t>This is the figure shown after</w:t>
            </w:r>
            <w:r w:rsidR="0040353A" w:rsidRPr="00A57F63">
              <w:rPr>
                <w:rFonts w:cstheme="minorHAnsi"/>
                <w:szCs w:val="24"/>
              </w:rPr>
              <w:t xml:space="preserve"> the impact of</w:t>
            </w:r>
            <w:r w:rsidRPr="00A57F63">
              <w:rPr>
                <w:rFonts w:cstheme="minorHAnsi"/>
                <w:szCs w:val="24"/>
              </w:rPr>
              <w:t xml:space="preserve"> property revaluation gains and losses and certain exchange rates gains and losses</w:t>
            </w:r>
            <w:r w:rsidR="00340879" w:rsidRPr="00A57F63">
              <w:rPr>
                <w:rFonts w:cstheme="minorHAnsi"/>
                <w:szCs w:val="24"/>
              </w:rPr>
              <w:t>, where these items impact the Revaluation Reserve and Other E</w:t>
            </w:r>
            <w:r w:rsidRPr="00A57F63">
              <w:rPr>
                <w:rFonts w:cstheme="minorHAnsi"/>
                <w:szCs w:val="24"/>
              </w:rPr>
              <w:t>quity reserve in the Statement of Financial Position, and do not flow directly to the bottom</w:t>
            </w:r>
            <w:r w:rsidR="009956B1">
              <w:rPr>
                <w:rFonts w:cstheme="minorHAnsi"/>
                <w:szCs w:val="24"/>
              </w:rPr>
              <w:t>-</w:t>
            </w:r>
            <w:r w:rsidRPr="00A57F63">
              <w:rPr>
                <w:rFonts w:cstheme="minorHAnsi"/>
                <w:szCs w:val="24"/>
              </w:rPr>
              <w:t>line surplus. Th</w:t>
            </w:r>
            <w:r w:rsidR="00EA2F0F" w:rsidRPr="00A57F63">
              <w:rPr>
                <w:rFonts w:cstheme="minorHAnsi"/>
                <w:szCs w:val="24"/>
              </w:rPr>
              <w:t>ese items show</w:t>
            </w:r>
            <w:r w:rsidRPr="00A57F63">
              <w:rPr>
                <w:rFonts w:cstheme="minorHAnsi"/>
                <w:szCs w:val="24"/>
              </w:rPr>
              <w:t xml:space="preserve"> a net </w:t>
            </w:r>
            <w:r w:rsidR="004758B2" w:rsidRPr="00A57F63">
              <w:rPr>
                <w:rFonts w:cstheme="minorHAnsi"/>
                <w:szCs w:val="24"/>
              </w:rPr>
              <w:t>gain</w:t>
            </w:r>
            <w:r w:rsidR="00337C16" w:rsidRPr="00A57F63">
              <w:rPr>
                <w:rFonts w:cstheme="minorHAnsi"/>
                <w:szCs w:val="24"/>
              </w:rPr>
              <w:t xml:space="preserve"> of £</w:t>
            </w:r>
            <w:r w:rsidR="004758B2" w:rsidRPr="00A57F63">
              <w:rPr>
                <w:rFonts w:cstheme="minorHAnsi"/>
                <w:szCs w:val="24"/>
              </w:rPr>
              <w:t>3.3</w:t>
            </w:r>
            <w:r w:rsidRPr="00A57F63">
              <w:rPr>
                <w:rFonts w:cstheme="minorHAnsi"/>
                <w:szCs w:val="24"/>
              </w:rPr>
              <w:t>m for the year</w:t>
            </w:r>
            <w:r w:rsidR="00EA2F0F" w:rsidRPr="00A57F63">
              <w:rPr>
                <w:rFonts w:cstheme="minorHAnsi"/>
                <w:szCs w:val="24"/>
              </w:rPr>
              <w:t xml:space="preserve">, </w:t>
            </w:r>
            <w:r w:rsidR="00340879" w:rsidRPr="00A57F63">
              <w:rPr>
                <w:rFonts w:cstheme="minorHAnsi"/>
                <w:szCs w:val="24"/>
              </w:rPr>
              <w:t xml:space="preserve">which </w:t>
            </w:r>
            <w:r w:rsidR="009C412E" w:rsidRPr="00A57F63">
              <w:rPr>
                <w:rFonts w:cstheme="minorHAnsi"/>
                <w:szCs w:val="24"/>
              </w:rPr>
              <w:t>when ad</w:t>
            </w:r>
            <w:r w:rsidR="00340879" w:rsidRPr="00A57F63">
              <w:rPr>
                <w:rFonts w:cstheme="minorHAnsi"/>
                <w:szCs w:val="24"/>
              </w:rPr>
              <w:t xml:space="preserve">ded to the </w:t>
            </w:r>
            <w:r w:rsidR="004C7D7E" w:rsidRPr="00A57F63">
              <w:rPr>
                <w:rFonts w:cstheme="minorHAnsi"/>
                <w:szCs w:val="24"/>
              </w:rPr>
              <w:t>s</w:t>
            </w:r>
            <w:r w:rsidR="00430981" w:rsidRPr="00A57F63">
              <w:rPr>
                <w:rFonts w:cstheme="minorHAnsi"/>
                <w:szCs w:val="24"/>
              </w:rPr>
              <w:t>urplus of £</w:t>
            </w:r>
            <w:r w:rsidR="004758B2" w:rsidRPr="00A57F63">
              <w:rPr>
                <w:rFonts w:cstheme="minorHAnsi"/>
                <w:szCs w:val="24"/>
              </w:rPr>
              <w:t>19</w:t>
            </w:r>
            <w:r w:rsidR="00430981" w:rsidRPr="00A57F63">
              <w:rPr>
                <w:rFonts w:cstheme="minorHAnsi"/>
                <w:szCs w:val="24"/>
              </w:rPr>
              <w:t>.4</w:t>
            </w:r>
            <w:r w:rsidR="00340879" w:rsidRPr="00A57F63">
              <w:rPr>
                <w:rFonts w:cstheme="minorHAnsi"/>
                <w:szCs w:val="24"/>
              </w:rPr>
              <w:t>m</w:t>
            </w:r>
            <w:r w:rsidR="009C412E" w:rsidRPr="00A57F63">
              <w:rPr>
                <w:rFonts w:cstheme="minorHAnsi"/>
                <w:szCs w:val="24"/>
              </w:rPr>
              <w:t xml:space="preserve"> </w:t>
            </w:r>
            <w:r w:rsidRPr="00A57F63">
              <w:rPr>
                <w:rFonts w:cstheme="minorHAnsi"/>
                <w:szCs w:val="24"/>
              </w:rPr>
              <w:t>bring</w:t>
            </w:r>
            <w:r w:rsidR="009C412E" w:rsidRPr="00A57F63">
              <w:rPr>
                <w:rFonts w:cstheme="minorHAnsi"/>
                <w:szCs w:val="24"/>
              </w:rPr>
              <w:t>s</w:t>
            </w:r>
            <w:r w:rsidR="00340879" w:rsidRPr="00A57F63">
              <w:rPr>
                <w:rFonts w:cstheme="minorHAnsi"/>
                <w:szCs w:val="24"/>
              </w:rPr>
              <w:t xml:space="preserve"> Total Comprehensive I</w:t>
            </w:r>
            <w:r w:rsidRPr="00A57F63">
              <w:rPr>
                <w:rFonts w:cstheme="minorHAnsi"/>
                <w:szCs w:val="24"/>
              </w:rPr>
              <w:t>ncome for the year to £</w:t>
            </w:r>
            <w:r w:rsidR="004758B2" w:rsidRPr="00A57F63">
              <w:rPr>
                <w:rFonts w:cstheme="minorHAnsi"/>
                <w:szCs w:val="24"/>
              </w:rPr>
              <w:t>22.7</w:t>
            </w:r>
            <w:r w:rsidR="00337C16" w:rsidRPr="00A57F63">
              <w:rPr>
                <w:rFonts w:cstheme="minorHAnsi"/>
                <w:szCs w:val="24"/>
              </w:rPr>
              <w:t>m</w:t>
            </w:r>
            <w:r w:rsidRPr="00A57F63">
              <w:rPr>
                <w:rFonts w:cstheme="minorHAnsi"/>
                <w:szCs w:val="24"/>
              </w:rPr>
              <w:t>.</w:t>
            </w:r>
          </w:p>
        </w:tc>
      </w:tr>
      <w:tr w:rsidR="0078251D" w:rsidRPr="00A57F63" w14:paraId="3FDE9761" w14:textId="77777777" w:rsidTr="00337C16">
        <w:trPr>
          <w:trHeight w:val="886"/>
        </w:trPr>
        <w:tc>
          <w:tcPr>
            <w:tcW w:w="0" w:type="auto"/>
            <w:tcBorders>
              <w:top w:val="single" w:sz="4" w:space="0" w:color="auto"/>
              <w:left w:val="nil"/>
              <w:bottom w:val="single" w:sz="4" w:space="0" w:color="auto"/>
              <w:right w:val="nil"/>
            </w:tcBorders>
            <w:hideMark/>
          </w:tcPr>
          <w:p w14:paraId="3CA3FF67" w14:textId="77777777" w:rsidR="0078251D" w:rsidRPr="00A57F63" w:rsidRDefault="0078251D" w:rsidP="00430981">
            <w:pPr>
              <w:tabs>
                <w:tab w:val="num" w:pos="284"/>
              </w:tabs>
              <w:spacing w:after="0"/>
              <w:ind w:left="-110"/>
              <w:jc w:val="right"/>
              <w:rPr>
                <w:rFonts w:cstheme="minorHAnsi"/>
                <w:b/>
                <w:szCs w:val="24"/>
              </w:rPr>
            </w:pPr>
            <w:r w:rsidRPr="00A57F63">
              <w:rPr>
                <w:rFonts w:cstheme="minorHAnsi"/>
                <w:b/>
                <w:szCs w:val="24"/>
              </w:rPr>
              <w:t xml:space="preserve">Total income </w:t>
            </w:r>
          </w:p>
        </w:tc>
        <w:tc>
          <w:tcPr>
            <w:tcW w:w="0" w:type="auto"/>
            <w:tcBorders>
              <w:top w:val="single" w:sz="4" w:space="0" w:color="auto"/>
              <w:left w:val="nil"/>
              <w:bottom w:val="single" w:sz="4" w:space="0" w:color="auto"/>
              <w:right w:val="nil"/>
            </w:tcBorders>
            <w:hideMark/>
          </w:tcPr>
          <w:p w14:paraId="7A89F791" w14:textId="7BC3CE67" w:rsidR="0078251D" w:rsidRPr="00A57F63" w:rsidRDefault="0078251D" w:rsidP="00430981">
            <w:pPr>
              <w:jc w:val="right"/>
            </w:pPr>
            <w:r w:rsidRPr="00A57F63">
              <w:rPr>
                <w:rFonts w:cstheme="minorHAnsi"/>
                <w:szCs w:val="24"/>
              </w:rPr>
              <w:t>£</w:t>
            </w:r>
            <w:r w:rsidR="00430981" w:rsidRPr="00A57F63">
              <w:rPr>
                <w:rFonts w:cstheme="minorHAnsi"/>
                <w:szCs w:val="24"/>
              </w:rPr>
              <w:t>2</w:t>
            </w:r>
            <w:r w:rsidR="004758B2" w:rsidRPr="00A57F63">
              <w:rPr>
                <w:rFonts w:cstheme="minorHAnsi"/>
                <w:szCs w:val="24"/>
              </w:rPr>
              <w:t>8</w:t>
            </w:r>
            <w:r w:rsidR="00430981" w:rsidRPr="00A57F63">
              <w:rPr>
                <w:rFonts w:cstheme="minorHAnsi"/>
                <w:szCs w:val="24"/>
              </w:rPr>
              <w:t>4.0m</w:t>
            </w:r>
          </w:p>
        </w:tc>
        <w:tc>
          <w:tcPr>
            <w:tcW w:w="0" w:type="auto"/>
            <w:tcBorders>
              <w:top w:val="single" w:sz="4" w:space="0" w:color="auto"/>
              <w:left w:val="nil"/>
              <w:bottom w:val="single" w:sz="4" w:space="0" w:color="auto"/>
              <w:right w:val="nil"/>
            </w:tcBorders>
            <w:hideMark/>
          </w:tcPr>
          <w:p w14:paraId="19EB7E1F" w14:textId="1E91C0A4" w:rsidR="004C7D7E" w:rsidRPr="00A57F63" w:rsidRDefault="0078251D" w:rsidP="004C7D7E">
            <w:pPr>
              <w:spacing w:after="0"/>
              <w:ind w:left="25"/>
              <w:rPr>
                <w:rFonts w:cstheme="minorHAnsi"/>
                <w:szCs w:val="24"/>
              </w:rPr>
            </w:pPr>
            <w:r w:rsidRPr="00A57F63">
              <w:rPr>
                <w:rFonts w:cstheme="minorHAnsi"/>
                <w:szCs w:val="24"/>
              </w:rPr>
              <w:t>Total income has</w:t>
            </w:r>
            <w:r w:rsidR="00430981" w:rsidRPr="00A57F63">
              <w:rPr>
                <w:rFonts w:cstheme="minorHAnsi"/>
                <w:szCs w:val="24"/>
              </w:rPr>
              <w:t xml:space="preserve"> </w:t>
            </w:r>
            <w:r w:rsidR="004758B2" w:rsidRPr="00A57F63">
              <w:rPr>
                <w:rFonts w:cstheme="minorHAnsi"/>
                <w:szCs w:val="24"/>
              </w:rPr>
              <w:t>increased</w:t>
            </w:r>
            <w:r w:rsidR="00430981" w:rsidRPr="00A57F63">
              <w:rPr>
                <w:rFonts w:cstheme="minorHAnsi"/>
                <w:szCs w:val="24"/>
              </w:rPr>
              <w:t xml:space="preserve"> </w:t>
            </w:r>
            <w:r w:rsidRPr="00A57F63">
              <w:rPr>
                <w:rFonts w:cstheme="minorHAnsi"/>
                <w:szCs w:val="24"/>
              </w:rPr>
              <w:t>by £</w:t>
            </w:r>
            <w:r w:rsidR="00111A3E" w:rsidRPr="00A57F63">
              <w:rPr>
                <w:rFonts w:cstheme="minorHAnsi"/>
                <w:szCs w:val="24"/>
              </w:rPr>
              <w:t>40.0</w:t>
            </w:r>
            <w:r w:rsidRPr="00A57F63">
              <w:rPr>
                <w:rFonts w:cstheme="minorHAnsi"/>
                <w:szCs w:val="24"/>
              </w:rPr>
              <w:t>m to £</w:t>
            </w:r>
            <w:r w:rsidR="00430981" w:rsidRPr="00A57F63">
              <w:rPr>
                <w:rFonts w:cstheme="minorHAnsi"/>
                <w:szCs w:val="24"/>
              </w:rPr>
              <w:t>2</w:t>
            </w:r>
            <w:r w:rsidR="00111A3E" w:rsidRPr="00A57F63">
              <w:rPr>
                <w:rFonts w:cstheme="minorHAnsi"/>
                <w:szCs w:val="24"/>
              </w:rPr>
              <w:t>8</w:t>
            </w:r>
            <w:r w:rsidR="00430981" w:rsidRPr="00A57F63">
              <w:rPr>
                <w:rFonts w:cstheme="minorHAnsi"/>
                <w:szCs w:val="24"/>
              </w:rPr>
              <w:t>4.0m in 202</w:t>
            </w:r>
            <w:r w:rsidR="00111A3E" w:rsidRPr="00A57F63">
              <w:rPr>
                <w:rFonts w:cstheme="minorHAnsi"/>
                <w:szCs w:val="24"/>
              </w:rPr>
              <w:t>1</w:t>
            </w:r>
            <w:r w:rsidR="005A6ED3" w:rsidRPr="00A57F63">
              <w:rPr>
                <w:rFonts w:cstheme="minorHAnsi"/>
                <w:szCs w:val="24"/>
              </w:rPr>
              <w:t>/2</w:t>
            </w:r>
            <w:r w:rsidR="00111A3E" w:rsidRPr="00A57F63">
              <w:rPr>
                <w:rFonts w:cstheme="minorHAnsi"/>
                <w:szCs w:val="24"/>
              </w:rPr>
              <w:t>2</w:t>
            </w:r>
            <w:r w:rsidR="005A6ED3" w:rsidRPr="00A57F63">
              <w:rPr>
                <w:rFonts w:cstheme="minorHAnsi"/>
                <w:szCs w:val="24"/>
              </w:rPr>
              <w:t xml:space="preserve"> from £</w:t>
            </w:r>
            <w:r w:rsidR="00430981" w:rsidRPr="00A57F63">
              <w:rPr>
                <w:rFonts w:cstheme="minorHAnsi"/>
                <w:szCs w:val="24"/>
              </w:rPr>
              <w:t>2</w:t>
            </w:r>
            <w:r w:rsidR="00111A3E" w:rsidRPr="00A57F63">
              <w:rPr>
                <w:rFonts w:cstheme="minorHAnsi"/>
                <w:szCs w:val="24"/>
              </w:rPr>
              <w:t>44.0</w:t>
            </w:r>
            <w:r w:rsidR="00430981" w:rsidRPr="00A57F63">
              <w:rPr>
                <w:rFonts w:cstheme="minorHAnsi"/>
                <w:szCs w:val="24"/>
              </w:rPr>
              <w:t>m</w:t>
            </w:r>
            <w:r w:rsidRPr="00A57F63">
              <w:rPr>
                <w:rFonts w:cstheme="minorHAnsi"/>
                <w:szCs w:val="24"/>
              </w:rPr>
              <w:t xml:space="preserve"> in 20</w:t>
            </w:r>
            <w:r w:rsidR="00111A3E" w:rsidRPr="00A57F63">
              <w:rPr>
                <w:rFonts w:cstheme="minorHAnsi"/>
                <w:szCs w:val="24"/>
              </w:rPr>
              <w:t>20</w:t>
            </w:r>
            <w:r w:rsidR="00430981" w:rsidRPr="00A57F63">
              <w:rPr>
                <w:rFonts w:cstheme="minorHAnsi"/>
                <w:szCs w:val="24"/>
              </w:rPr>
              <w:t>/2</w:t>
            </w:r>
            <w:r w:rsidR="00111A3E" w:rsidRPr="00A57F63">
              <w:rPr>
                <w:rFonts w:cstheme="minorHAnsi"/>
                <w:szCs w:val="24"/>
              </w:rPr>
              <w:t>1</w:t>
            </w:r>
            <w:r w:rsidRPr="00A57F63">
              <w:rPr>
                <w:rFonts w:cstheme="minorHAnsi"/>
                <w:szCs w:val="24"/>
              </w:rPr>
              <w:t>. This is largely due to</w:t>
            </w:r>
            <w:r w:rsidR="00541DB6" w:rsidRPr="00A57F63">
              <w:rPr>
                <w:rFonts w:cstheme="minorHAnsi"/>
                <w:szCs w:val="24"/>
              </w:rPr>
              <w:t xml:space="preserve"> </w:t>
            </w:r>
            <w:r w:rsidR="00B814FE" w:rsidRPr="00A57F63">
              <w:rPr>
                <w:rFonts w:cstheme="minorHAnsi"/>
                <w:szCs w:val="24"/>
              </w:rPr>
              <w:t>receiving block funding income based on historical activity levels, whilst undertaking reduced activity during the pandemic</w:t>
            </w:r>
            <w:r w:rsidR="004C7D7E" w:rsidRPr="00A57F63">
              <w:rPr>
                <w:rFonts w:cstheme="minorHAnsi"/>
                <w:szCs w:val="24"/>
              </w:rPr>
              <w:t>.</w:t>
            </w:r>
            <w:r w:rsidR="00B814FE" w:rsidRPr="00A57F63">
              <w:rPr>
                <w:rFonts w:cstheme="minorHAnsi"/>
                <w:szCs w:val="24"/>
              </w:rPr>
              <w:t xml:space="preserve"> There was also increased commercial income during </w:t>
            </w:r>
            <w:r w:rsidR="00A57F63" w:rsidRPr="00A57F63">
              <w:rPr>
                <w:rFonts w:cstheme="minorHAnsi"/>
                <w:szCs w:val="24"/>
              </w:rPr>
              <w:t>the year</w:t>
            </w:r>
            <w:r w:rsidR="00A00A4F">
              <w:rPr>
                <w:rFonts w:cstheme="minorHAnsi"/>
                <w:szCs w:val="24"/>
              </w:rPr>
              <w:t>.</w:t>
            </w:r>
          </w:p>
          <w:p w14:paraId="7A523C42" w14:textId="77777777" w:rsidR="00466D8C" w:rsidRPr="00A57F63" w:rsidRDefault="00466D8C" w:rsidP="009C412E">
            <w:pPr>
              <w:tabs>
                <w:tab w:val="num" w:pos="1080"/>
              </w:tabs>
              <w:spacing w:after="0"/>
              <w:ind w:left="25"/>
              <w:rPr>
                <w:rFonts w:cstheme="minorHAnsi"/>
                <w:szCs w:val="24"/>
              </w:rPr>
            </w:pPr>
          </w:p>
        </w:tc>
      </w:tr>
      <w:tr w:rsidR="0078251D" w:rsidRPr="00A57F63" w14:paraId="58F2558F" w14:textId="77777777" w:rsidTr="00337C16">
        <w:trPr>
          <w:trHeight w:val="850"/>
        </w:trPr>
        <w:tc>
          <w:tcPr>
            <w:tcW w:w="0" w:type="auto"/>
            <w:tcBorders>
              <w:top w:val="single" w:sz="4" w:space="0" w:color="auto"/>
              <w:left w:val="nil"/>
              <w:bottom w:val="single" w:sz="4" w:space="0" w:color="auto"/>
              <w:right w:val="nil"/>
            </w:tcBorders>
            <w:hideMark/>
          </w:tcPr>
          <w:p w14:paraId="59623130" w14:textId="77777777" w:rsidR="0078251D" w:rsidRPr="00A57F63" w:rsidRDefault="0078251D" w:rsidP="0078251D">
            <w:pPr>
              <w:tabs>
                <w:tab w:val="num" w:pos="284"/>
              </w:tabs>
              <w:spacing w:after="0"/>
              <w:ind w:left="-110"/>
              <w:jc w:val="right"/>
              <w:rPr>
                <w:rFonts w:cstheme="minorHAnsi"/>
                <w:b/>
                <w:szCs w:val="24"/>
              </w:rPr>
            </w:pPr>
            <w:r w:rsidRPr="00A57F63">
              <w:rPr>
                <w:rFonts w:cstheme="minorHAnsi"/>
                <w:b/>
                <w:szCs w:val="24"/>
              </w:rPr>
              <w:t>Total expenses before impairment</w:t>
            </w:r>
          </w:p>
        </w:tc>
        <w:tc>
          <w:tcPr>
            <w:tcW w:w="0" w:type="auto"/>
            <w:tcBorders>
              <w:top w:val="single" w:sz="4" w:space="0" w:color="auto"/>
              <w:left w:val="nil"/>
              <w:bottom w:val="single" w:sz="4" w:space="0" w:color="auto"/>
              <w:right w:val="nil"/>
            </w:tcBorders>
            <w:hideMark/>
          </w:tcPr>
          <w:p w14:paraId="2705ED2F" w14:textId="12078086" w:rsidR="0078251D" w:rsidRPr="00A57F63" w:rsidRDefault="0078251D" w:rsidP="00430981">
            <w:pPr>
              <w:jc w:val="right"/>
            </w:pPr>
            <w:r w:rsidRPr="00A57F63">
              <w:rPr>
                <w:rFonts w:cstheme="minorHAnsi"/>
                <w:szCs w:val="24"/>
              </w:rPr>
              <w:t>£</w:t>
            </w:r>
            <w:r w:rsidR="0099288D" w:rsidRPr="00A57F63">
              <w:rPr>
                <w:rFonts w:cstheme="minorHAnsi"/>
                <w:szCs w:val="24"/>
              </w:rPr>
              <w:t>263.0</w:t>
            </w:r>
            <w:r w:rsidR="00430981" w:rsidRPr="00A57F63">
              <w:rPr>
                <w:rFonts w:cstheme="minorHAnsi"/>
                <w:szCs w:val="24"/>
              </w:rPr>
              <w:t>m</w:t>
            </w:r>
          </w:p>
        </w:tc>
        <w:tc>
          <w:tcPr>
            <w:tcW w:w="0" w:type="auto"/>
            <w:tcBorders>
              <w:top w:val="single" w:sz="4" w:space="0" w:color="auto"/>
              <w:left w:val="nil"/>
              <w:bottom w:val="single" w:sz="4" w:space="0" w:color="auto"/>
              <w:right w:val="nil"/>
            </w:tcBorders>
            <w:hideMark/>
          </w:tcPr>
          <w:p w14:paraId="38CE2F1E" w14:textId="52EDCA3A" w:rsidR="00466D8C" w:rsidRPr="00A57F63" w:rsidRDefault="0078251D" w:rsidP="0099288D">
            <w:pPr>
              <w:tabs>
                <w:tab w:val="num" w:pos="1080"/>
              </w:tabs>
              <w:spacing w:after="0"/>
              <w:ind w:left="25"/>
              <w:rPr>
                <w:rFonts w:cstheme="minorHAnsi"/>
                <w:szCs w:val="24"/>
              </w:rPr>
            </w:pPr>
            <w:r w:rsidRPr="00A57F63">
              <w:rPr>
                <w:rFonts w:cstheme="minorHAnsi"/>
                <w:szCs w:val="24"/>
              </w:rPr>
              <w:t>Total expenses be</w:t>
            </w:r>
            <w:r w:rsidR="005A6ED3" w:rsidRPr="00A57F63">
              <w:rPr>
                <w:rFonts w:cstheme="minorHAnsi"/>
                <w:szCs w:val="24"/>
              </w:rPr>
              <w:t xml:space="preserve">fore impairment have </w:t>
            </w:r>
            <w:r w:rsidR="00111A3E" w:rsidRPr="00A57F63">
              <w:rPr>
                <w:rFonts w:cstheme="minorHAnsi"/>
                <w:szCs w:val="24"/>
              </w:rPr>
              <w:t>increased</w:t>
            </w:r>
            <w:r w:rsidR="00430981" w:rsidRPr="00A57F63">
              <w:rPr>
                <w:rFonts w:cstheme="minorHAnsi"/>
                <w:szCs w:val="24"/>
              </w:rPr>
              <w:t xml:space="preserve"> by £</w:t>
            </w:r>
            <w:r w:rsidR="0099288D" w:rsidRPr="00A57F63">
              <w:rPr>
                <w:rFonts w:cstheme="minorHAnsi"/>
                <w:szCs w:val="24"/>
              </w:rPr>
              <w:t>26.3</w:t>
            </w:r>
            <w:r w:rsidRPr="00A57F63">
              <w:rPr>
                <w:rFonts w:cstheme="minorHAnsi"/>
                <w:szCs w:val="24"/>
              </w:rPr>
              <w:t xml:space="preserve">m </w:t>
            </w:r>
            <w:r w:rsidR="005A6ED3" w:rsidRPr="00A57F63">
              <w:rPr>
                <w:rFonts w:cstheme="minorHAnsi"/>
                <w:szCs w:val="24"/>
              </w:rPr>
              <w:t>to £</w:t>
            </w:r>
            <w:r w:rsidR="00430981" w:rsidRPr="00A57F63">
              <w:rPr>
                <w:rFonts w:cstheme="minorHAnsi"/>
                <w:szCs w:val="24"/>
              </w:rPr>
              <w:t>2</w:t>
            </w:r>
            <w:r w:rsidR="00A00A4F">
              <w:rPr>
                <w:rFonts w:cstheme="minorHAnsi"/>
                <w:szCs w:val="24"/>
              </w:rPr>
              <w:t>63</w:t>
            </w:r>
            <w:r w:rsidR="004C7D7E" w:rsidRPr="00A57F63">
              <w:rPr>
                <w:rFonts w:cstheme="minorHAnsi"/>
                <w:szCs w:val="24"/>
              </w:rPr>
              <w:t>m</w:t>
            </w:r>
            <w:r w:rsidR="005A6ED3" w:rsidRPr="00A57F63">
              <w:rPr>
                <w:rFonts w:cstheme="minorHAnsi"/>
                <w:szCs w:val="24"/>
              </w:rPr>
              <w:t xml:space="preserve"> in 20</w:t>
            </w:r>
            <w:r w:rsidR="00430981" w:rsidRPr="00A57F63">
              <w:rPr>
                <w:rFonts w:cstheme="minorHAnsi"/>
                <w:szCs w:val="24"/>
              </w:rPr>
              <w:t>2</w:t>
            </w:r>
            <w:r w:rsidR="0099288D" w:rsidRPr="00A57F63">
              <w:rPr>
                <w:rFonts w:cstheme="minorHAnsi"/>
                <w:szCs w:val="24"/>
              </w:rPr>
              <w:t>1</w:t>
            </w:r>
            <w:r w:rsidR="006B59C4" w:rsidRPr="00A57F63">
              <w:rPr>
                <w:rFonts w:cstheme="minorHAnsi"/>
                <w:szCs w:val="24"/>
              </w:rPr>
              <w:t>/2</w:t>
            </w:r>
            <w:r w:rsidR="0099288D" w:rsidRPr="00A57F63">
              <w:rPr>
                <w:rFonts w:cstheme="minorHAnsi"/>
                <w:szCs w:val="24"/>
              </w:rPr>
              <w:t>2</w:t>
            </w:r>
            <w:r w:rsidR="009C412E" w:rsidRPr="00A57F63">
              <w:rPr>
                <w:rFonts w:cstheme="minorHAnsi"/>
                <w:szCs w:val="24"/>
              </w:rPr>
              <w:t>, from £2</w:t>
            </w:r>
            <w:r w:rsidR="0099288D" w:rsidRPr="00A57F63">
              <w:rPr>
                <w:rFonts w:cstheme="minorHAnsi"/>
                <w:szCs w:val="24"/>
              </w:rPr>
              <w:t>36.7</w:t>
            </w:r>
            <w:r w:rsidRPr="00A57F63">
              <w:rPr>
                <w:rFonts w:cstheme="minorHAnsi"/>
                <w:szCs w:val="24"/>
              </w:rPr>
              <w:t>m in 20</w:t>
            </w:r>
            <w:r w:rsidR="0099288D" w:rsidRPr="00A57F63">
              <w:rPr>
                <w:rFonts w:cstheme="minorHAnsi"/>
                <w:szCs w:val="24"/>
              </w:rPr>
              <w:t>20</w:t>
            </w:r>
            <w:r w:rsidR="00430981" w:rsidRPr="00A57F63">
              <w:rPr>
                <w:rFonts w:cstheme="minorHAnsi"/>
                <w:szCs w:val="24"/>
              </w:rPr>
              <w:t>/2</w:t>
            </w:r>
            <w:r w:rsidR="0099288D" w:rsidRPr="00A57F63">
              <w:rPr>
                <w:rFonts w:cstheme="minorHAnsi"/>
                <w:szCs w:val="24"/>
              </w:rPr>
              <w:t>1</w:t>
            </w:r>
            <w:r w:rsidRPr="00A57F63">
              <w:rPr>
                <w:rFonts w:cstheme="minorHAnsi"/>
                <w:szCs w:val="24"/>
              </w:rPr>
              <w:t xml:space="preserve">. Pay costs </w:t>
            </w:r>
            <w:r w:rsidR="0099288D" w:rsidRPr="00A57F63">
              <w:rPr>
                <w:rFonts w:cstheme="minorHAnsi"/>
                <w:szCs w:val="24"/>
              </w:rPr>
              <w:t>increased</w:t>
            </w:r>
            <w:r w:rsidR="00430981" w:rsidRPr="00A57F63">
              <w:rPr>
                <w:rFonts w:cstheme="minorHAnsi"/>
                <w:szCs w:val="24"/>
              </w:rPr>
              <w:t xml:space="preserve"> by £</w:t>
            </w:r>
            <w:r w:rsidR="0099288D" w:rsidRPr="00A57F63">
              <w:rPr>
                <w:rFonts w:cstheme="minorHAnsi"/>
                <w:szCs w:val="24"/>
              </w:rPr>
              <w:t>10.8</w:t>
            </w:r>
            <w:r w:rsidR="009C412E" w:rsidRPr="00A57F63">
              <w:rPr>
                <w:rFonts w:cstheme="minorHAnsi"/>
                <w:szCs w:val="24"/>
              </w:rPr>
              <w:t>m and non-pay costs by £1</w:t>
            </w:r>
            <w:r w:rsidR="0099288D" w:rsidRPr="00A57F63">
              <w:rPr>
                <w:rFonts w:cstheme="minorHAnsi"/>
                <w:szCs w:val="24"/>
              </w:rPr>
              <w:t>5.5</w:t>
            </w:r>
            <w:r w:rsidRPr="00A57F63">
              <w:rPr>
                <w:rFonts w:cstheme="minorHAnsi"/>
                <w:szCs w:val="24"/>
              </w:rPr>
              <w:t>m.</w:t>
            </w:r>
          </w:p>
        </w:tc>
      </w:tr>
      <w:tr w:rsidR="0078251D" w:rsidRPr="00A57F63" w14:paraId="3E2122AC" w14:textId="77777777" w:rsidTr="00337C16">
        <w:trPr>
          <w:trHeight w:val="1077"/>
        </w:trPr>
        <w:tc>
          <w:tcPr>
            <w:tcW w:w="0" w:type="auto"/>
            <w:tcBorders>
              <w:top w:val="single" w:sz="4" w:space="0" w:color="auto"/>
              <w:left w:val="nil"/>
              <w:bottom w:val="single" w:sz="4" w:space="0" w:color="auto"/>
              <w:right w:val="nil"/>
            </w:tcBorders>
          </w:tcPr>
          <w:p w14:paraId="63C9299C" w14:textId="77777777" w:rsidR="0078251D" w:rsidRPr="00A57F63" w:rsidRDefault="0078251D" w:rsidP="0078251D">
            <w:pPr>
              <w:tabs>
                <w:tab w:val="num" w:pos="284"/>
              </w:tabs>
              <w:spacing w:after="0"/>
              <w:ind w:left="-110"/>
              <w:jc w:val="right"/>
              <w:rPr>
                <w:rFonts w:cstheme="minorHAnsi"/>
                <w:b/>
                <w:szCs w:val="24"/>
              </w:rPr>
            </w:pPr>
            <w:r w:rsidRPr="00A57F63">
              <w:rPr>
                <w:rFonts w:cstheme="minorHAnsi"/>
                <w:b/>
                <w:szCs w:val="24"/>
              </w:rPr>
              <w:t>Interest payable</w:t>
            </w:r>
            <w:r w:rsidR="00340879" w:rsidRPr="00A57F63">
              <w:rPr>
                <w:rFonts w:cstheme="minorHAnsi"/>
                <w:b/>
                <w:szCs w:val="24"/>
              </w:rPr>
              <w:t xml:space="preserve"> and Public Dividend Capital dividends</w:t>
            </w:r>
          </w:p>
        </w:tc>
        <w:tc>
          <w:tcPr>
            <w:tcW w:w="0" w:type="auto"/>
            <w:tcBorders>
              <w:top w:val="single" w:sz="4" w:space="0" w:color="auto"/>
              <w:left w:val="nil"/>
              <w:bottom w:val="single" w:sz="4" w:space="0" w:color="auto"/>
              <w:right w:val="nil"/>
            </w:tcBorders>
          </w:tcPr>
          <w:p w14:paraId="374E3DA2" w14:textId="41107D9D" w:rsidR="0078251D" w:rsidRPr="00A57F63" w:rsidRDefault="0078251D" w:rsidP="005A6ED3">
            <w:pPr>
              <w:jc w:val="right"/>
            </w:pPr>
            <w:r w:rsidRPr="00A57F63">
              <w:rPr>
                <w:rFonts w:cstheme="minorHAnsi"/>
                <w:szCs w:val="24"/>
              </w:rPr>
              <w:t>£</w:t>
            </w:r>
            <w:r w:rsidR="00430981" w:rsidRPr="00A57F63">
              <w:rPr>
                <w:rFonts w:cstheme="minorHAnsi"/>
                <w:szCs w:val="24"/>
              </w:rPr>
              <w:t>1.</w:t>
            </w:r>
            <w:r w:rsidR="00890C58" w:rsidRPr="00A57F63">
              <w:rPr>
                <w:rFonts w:cstheme="minorHAnsi"/>
                <w:szCs w:val="24"/>
              </w:rPr>
              <w:t>5</w:t>
            </w:r>
            <w:r w:rsidR="005A6ED3" w:rsidRPr="00A57F63">
              <w:rPr>
                <w:rFonts w:cstheme="minorHAnsi"/>
                <w:szCs w:val="24"/>
              </w:rPr>
              <w:t>m</w:t>
            </w:r>
          </w:p>
        </w:tc>
        <w:tc>
          <w:tcPr>
            <w:tcW w:w="0" w:type="auto"/>
            <w:tcBorders>
              <w:top w:val="single" w:sz="4" w:space="0" w:color="auto"/>
              <w:left w:val="nil"/>
              <w:bottom w:val="single" w:sz="4" w:space="0" w:color="auto"/>
              <w:right w:val="nil"/>
            </w:tcBorders>
          </w:tcPr>
          <w:p w14:paraId="4F9F4246" w14:textId="4F4B1A29" w:rsidR="0078251D" w:rsidRPr="00A57F63" w:rsidRDefault="00430981" w:rsidP="009C412E">
            <w:pPr>
              <w:tabs>
                <w:tab w:val="num" w:pos="1080"/>
              </w:tabs>
              <w:spacing w:after="0"/>
              <w:ind w:left="25"/>
              <w:rPr>
                <w:rFonts w:cstheme="minorHAnsi"/>
                <w:szCs w:val="24"/>
              </w:rPr>
            </w:pPr>
            <w:r w:rsidRPr="00A57F63">
              <w:rPr>
                <w:rFonts w:cstheme="minorHAnsi"/>
                <w:szCs w:val="24"/>
              </w:rPr>
              <w:t>Interest payable is £1.</w:t>
            </w:r>
            <w:r w:rsidR="00890C58" w:rsidRPr="00A57F63">
              <w:rPr>
                <w:rFonts w:cstheme="minorHAnsi"/>
                <w:szCs w:val="24"/>
              </w:rPr>
              <w:t>5</w:t>
            </w:r>
            <w:r w:rsidR="0078251D" w:rsidRPr="00A57F63">
              <w:rPr>
                <w:rFonts w:cstheme="minorHAnsi"/>
                <w:szCs w:val="24"/>
              </w:rPr>
              <w:t xml:space="preserve">m for the year, </w:t>
            </w:r>
            <w:r w:rsidR="005A6ED3" w:rsidRPr="00A57F63">
              <w:rPr>
                <w:rFonts w:cstheme="minorHAnsi"/>
                <w:szCs w:val="24"/>
              </w:rPr>
              <w:t>a</w:t>
            </w:r>
            <w:r w:rsidR="00890C58" w:rsidRPr="00A57F63">
              <w:rPr>
                <w:rFonts w:cstheme="minorHAnsi"/>
                <w:szCs w:val="24"/>
              </w:rPr>
              <w:t xml:space="preserve">n increase </w:t>
            </w:r>
            <w:r w:rsidR="005A6ED3" w:rsidRPr="00A57F63">
              <w:rPr>
                <w:rFonts w:cstheme="minorHAnsi"/>
                <w:szCs w:val="24"/>
              </w:rPr>
              <w:t>of £0.</w:t>
            </w:r>
            <w:r w:rsidR="00890C58" w:rsidRPr="00A57F63">
              <w:rPr>
                <w:rFonts w:cstheme="minorHAnsi"/>
                <w:szCs w:val="24"/>
              </w:rPr>
              <w:t>5</w:t>
            </w:r>
            <w:r w:rsidR="005A6ED3" w:rsidRPr="00A57F63">
              <w:rPr>
                <w:rFonts w:cstheme="minorHAnsi"/>
                <w:szCs w:val="24"/>
              </w:rPr>
              <w:t xml:space="preserve">m from </w:t>
            </w:r>
            <w:r w:rsidR="0078251D" w:rsidRPr="00A57F63">
              <w:rPr>
                <w:rFonts w:cstheme="minorHAnsi"/>
                <w:szCs w:val="24"/>
              </w:rPr>
              <w:t>last year. Public Divide</w:t>
            </w:r>
            <w:r w:rsidR="0040353A" w:rsidRPr="00A57F63">
              <w:rPr>
                <w:rFonts w:cstheme="minorHAnsi"/>
                <w:szCs w:val="24"/>
              </w:rPr>
              <w:t xml:space="preserve">nd Capital (PDC) payments </w:t>
            </w:r>
            <w:r w:rsidR="009956B1">
              <w:rPr>
                <w:rFonts w:cstheme="minorHAnsi"/>
                <w:szCs w:val="24"/>
              </w:rPr>
              <w:t>resumed</w:t>
            </w:r>
            <w:r w:rsidR="00890C58" w:rsidRPr="00A57F63">
              <w:rPr>
                <w:rFonts w:cstheme="minorHAnsi"/>
                <w:szCs w:val="24"/>
              </w:rPr>
              <w:t xml:space="preserve"> due to increase</w:t>
            </w:r>
            <w:r w:rsidR="009956B1">
              <w:rPr>
                <w:rFonts w:cstheme="minorHAnsi"/>
                <w:szCs w:val="24"/>
              </w:rPr>
              <w:t>s</w:t>
            </w:r>
            <w:r w:rsidR="0078251D" w:rsidRPr="00A57F63">
              <w:rPr>
                <w:rFonts w:cstheme="minorHAnsi"/>
                <w:szCs w:val="24"/>
              </w:rPr>
              <w:t xml:space="preserve"> in the average of the adjusted opening and closing assets employed that are used to calculate the PDC dividend payment.</w:t>
            </w:r>
          </w:p>
          <w:p w14:paraId="2BBE49C7" w14:textId="77777777" w:rsidR="00466D8C" w:rsidRPr="00A57F63" w:rsidRDefault="00466D8C" w:rsidP="009C412E">
            <w:pPr>
              <w:tabs>
                <w:tab w:val="num" w:pos="1080"/>
              </w:tabs>
              <w:spacing w:after="0"/>
              <w:ind w:left="25"/>
              <w:rPr>
                <w:rFonts w:cstheme="minorHAnsi"/>
                <w:szCs w:val="24"/>
              </w:rPr>
            </w:pPr>
          </w:p>
        </w:tc>
      </w:tr>
    </w:tbl>
    <w:p w14:paraId="183BEFFC" w14:textId="77777777" w:rsidR="00E057D6" w:rsidRPr="00A57F63" w:rsidRDefault="00E057D6" w:rsidP="00CE087C">
      <w:pPr>
        <w:keepNext/>
        <w:ind w:left="284"/>
        <w:outlineLvl w:val="0"/>
        <w:rPr>
          <w:b/>
          <w:sz w:val="32"/>
        </w:rPr>
      </w:pPr>
    </w:p>
    <w:p w14:paraId="4E7265AC" w14:textId="77777777" w:rsidR="00B951F0" w:rsidRPr="00A57F63" w:rsidRDefault="00B951F0">
      <w:pPr>
        <w:spacing w:before="0" w:after="200" w:line="276" w:lineRule="auto"/>
        <w:jc w:val="left"/>
        <w:rPr>
          <w:b/>
          <w:sz w:val="32"/>
        </w:rPr>
      </w:pPr>
      <w:r w:rsidRPr="00A57F63">
        <w:rPr>
          <w:b/>
          <w:sz w:val="32"/>
        </w:rPr>
        <w:br w:type="page"/>
      </w:r>
    </w:p>
    <w:p w14:paraId="15B34A22" w14:textId="77777777" w:rsidR="00CE087C" w:rsidRPr="00A57F63" w:rsidRDefault="00736235" w:rsidP="00CE087C">
      <w:pPr>
        <w:keepNext/>
        <w:ind w:left="284"/>
        <w:outlineLvl w:val="0"/>
        <w:rPr>
          <w:b/>
          <w:sz w:val="32"/>
        </w:rPr>
      </w:pPr>
      <w:r w:rsidRPr="00A57F63">
        <w:rPr>
          <w:b/>
          <w:sz w:val="32"/>
        </w:rPr>
        <w:lastRenderedPageBreak/>
        <w:t>Statem</w:t>
      </w:r>
      <w:r w:rsidR="00340879" w:rsidRPr="00A57F63">
        <w:rPr>
          <w:b/>
          <w:sz w:val="32"/>
        </w:rPr>
        <w:t>ent of Financial Position</w:t>
      </w:r>
    </w:p>
    <w:p w14:paraId="1A2FBB3E" w14:textId="65D0E539" w:rsidR="0078251D" w:rsidRPr="00A57F63" w:rsidRDefault="00CE087C" w:rsidP="00CE087C">
      <w:pPr>
        <w:ind w:left="284"/>
        <w:rPr>
          <w:rFonts w:cstheme="minorHAnsi"/>
          <w:szCs w:val="24"/>
        </w:rPr>
      </w:pPr>
      <w:r w:rsidRPr="00A57F63">
        <w:rPr>
          <w:rFonts w:cstheme="minorHAnsi"/>
          <w:szCs w:val="24"/>
        </w:rPr>
        <w:t xml:space="preserve">The </w:t>
      </w:r>
      <w:r w:rsidR="0078251D" w:rsidRPr="00A57F63">
        <w:rPr>
          <w:rFonts w:cstheme="minorHAnsi"/>
          <w:szCs w:val="24"/>
        </w:rPr>
        <w:t>Statement of Financial Position (SOFP) reports a snapshot of the Trust</w:t>
      </w:r>
      <w:r w:rsidR="00340879" w:rsidRPr="00A57F63">
        <w:rPr>
          <w:rFonts w:cstheme="minorHAnsi"/>
          <w:szCs w:val="24"/>
        </w:rPr>
        <w:t>’</w:t>
      </w:r>
      <w:r w:rsidR="0078251D" w:rsidRPr="00A57F63">
        <w:rPr>
          <w:rFonts w:cstheme="minorHAnsi"/>
          <w:szCs w:val="24"/>
        </w:rPr>
        <w:t>s assets and liabilities at</w:t>
      </w:r>
      <w:r w:rsidR="00340879" w:rsidRPr="00A57F63">
        <w:rPr>
          <w:rFonts w:cstheme="minorHAnsi"/>
          <w:szCs w:val="24"/>
        </w:rPr>
        <w:t xml:space="preserve"> the</w:t>
      </w:r>
      <w:r w:rsidR="0078251D" w:rsidRPr="00A57F63">
        <w:rPr>
          <w:rFonts w:cstheme="minorHAnsi"/>
          <w:szCs w:val="24"/>
        </w:rPr>
        <w:t xml:space="preserve"> 31</w:t>
      </w:r>
      <w:r w:rsidR="0078251D" w:rsidRPr="00A57F63">
        <w:rPr>
          <w:rFonts w:cstheme="minorHAnsi"/>
          <w:szCs w:val="24"/>
          <w:vertAlign w:val="superscript"/>
        </w:rPr>
        <w:t>st</w:t>
      </w:r>
      <w:r w:rsidR="003C665F" w:rsidRPr="00A57F63">
        <w:rPr>
          <w:rFonts w:cstheme="minorHAnsi"/>
          <w:szCs w:val="24"/>
        </w:rPr>
        <w:t xml:space="preserve"> March 202</w:t>
      </w:r>
      <w:r w:rsidR="00890C58" w:rsidRPr="00A57F63">
        <w:rPr>
          <w:rFonts w:cstheme="minorHAnsi"/>
          <w:szCs w:val="24"/>
        </w:rPr>
        <w:t>2</w:t>
      </w:r>
      <w:r w:rsidR="0078251D" w:rsidRPr="00A57F63">
        <w:rPr>
          <w:rFonts w:cstheme="minorHAnsi"/>
          <w:szCs w:val="24"/>
        </w:rPr>
        <w:t>.</w:t>
      </w:r>
    </w:p>
    <w:p w14:paraId="342EF88A" w14:textId="77777777" w:rsidR="00CE087C" w:rsidRPr="00DD3CE0" w:rsidRDefault="00CE087C" w:rsidP="00CE087C">
      <w:pPr>
        <w:ind w:left="284"/>
        <w:rPr>
          <w:rFonts w:cstheme="minorHAnsi"/>
          <w:szCs w:val="24"/>
          <w:highlight w:val="yellow"/>
        </w:rPr>
      </w:pPr>
    </w:p>
    <w:tbl>
      <w:tblPr>
        <w:tblStyle w:val="TableGrid"/>
        <w:tblW w:w="9922" w:type="dxa"/>
        <w:tblInd w:w="28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701"/>
        <w:gridCol w:w="1276"/>
        <w:gridCol w:w="6945"/>
      </w:tblGrid>
      <w:tr w:rsidR="00CE087C" w:rsidRPr="00DD3CE0" w14:paraId="38C05A86" w14:textId="77777777" w:rsidTr="00EB1DE8">
        <w:tc>
          <w:tcPr>
            <w:tcW w:w="1701" w:type="dxa"/>
            <w:tcBorders>
              <w:top w:val="single" w:sz="4" w:space="0" w:color="auto"/>
              <w:left w:val="nil"/>
              <w:bottom w:val="single" w:sz="4" w:space="0" w:color="auto"/>
              <w:right w:val="nil"/>
            </w:tcBorders>
            <w:hideMark/>
          </w:tcPr>
          <w:p w14:paraId="090196C2" w14:textId="77777777" w:rsidR="00CE087C" w:rsidRPr="008A32BE" w:rsidRDefault="00CE087C" w:rsidP="00654007">
            <w:pPr>
              <w:tabs>
                <w:tab w:val="num" w:pos="1080"/>
              </w:tabs>
              <w:spacing w:after="0"/>
              <w:ind w:left="-110"/>
              <w:jc w:val="right"/>
              <w:rPr>
                <w:rFonts w:cstheme="minorHAnsi"/>
                <w:b/>
                <w:szCs w:val="24"/>
              </w:rPr>
            </w:pPr>
            <w:r w:rsidRPr="008A32BE">
              <w:rPr>
                <w:rFonts w:cstheme="minorHAnsi"/>
                <w:b/>
                <w:szCs w:val="24"/>
              </w:rPr>
              <w:t>Area</w:t>
            </w:r>
          </w:p>
        </w:tc>
        <w:tc>
          <w:tcPr>
            <w:tcW w:w="1276" w:type="dxa"/>
            <w:tcBorders>
              <w:top w:val="single" w:sz="4" w:space="0" w:color="auto"/>
              <w:left w:val="nil"/>
              <w:bottom w:val="single" w:sz="4" w:space="0" w:color="auto"/>
              <w:right w:val="nil"/>
            </w:tcBorders>
            <w:hideMark/>
          </w:tcPr>
          <w:p w14:paraId="1D01550A" w14:textId="77777777" w:rsidR="00CE087C" w:rsidRPr="008A32BE" w:rsidRDefault="0078251D" w:rsidP="0078251D">
            <w:pPr>
              <w:tabs>
                <w:tab w:val="num" w:pos="1080"/>
              </w:tabs>
              <w:spacing w:after="0"/>
              <w:jc w:val="right"/>
              <w:rPr>
                <w:rFonts w:cstheme="minorHAnsi"/>
                <w:b/>
                <w:szCs w:val="24"/>
              </w:rPr>
            </w:pPr>
            <w:r w:rsidRPr="008A32BE">
              <w:rPr>
                <w:rFonts w:cstheme="minorHAnsi"/>
                <w:b/>
                <w:szCs w:val="24"/>
              </w:rPr>
              <w:t>Full Year</w:t>
            </w:r>
          </w:p>
        </w:tc>
        <w:tc>
          <w:tcPr>
            <w:tcW w:w="6945" w:type="dxa"/>
            <w:tcBorders>
              <w:top w:val="single" w:sz="4" w:space="0" w:color="auto"/>
              <w:left w:val="nil"/>
              <w:bottom w:val="single" w:sz="4" w:space="0" w:color="auto"/>
              <w:right w:val="nil"/>
            </w:tcBorders>
            <w:hideMark/>
          </w:tcPr>
          <w:p w14:paraId="57281BD3" w14:textId="77777777" w:rsidR="00CE087C" w:rsidRPr="008A32BE" w:rsidRDefault="00CE087C" w:rsidP="00654007">
            <w:pPr>
              <w:tabs>
                <w:tab w:val="num" w:pos="1080"/>
              </w:tabs>
              <w:spacing w:after="0"/>
              <w:ind w:left="25"/>
              <w:rPr>
                <w:rFonts w:cstheme="minorHAnsi"/>
                <w:b/>
                <w:szCs w:val="24"/>
              </w:rPr>
            </w:pPr>
            <w:r w:rsidRPr="008A32BE">
              <w:rPr>
                <w:rFonts w:cstheme="minorHAnsi"/>
                <w:b/>
                <w:szCs w:val="24"/>
              </w:rPr>
              <w:t>Description</w:t>
            </w:r>
          </w:p>
        </w:tc>
      </w:tr>
      <w:tr w:rsidR="0078251D" w:rsidRPr="00DD3CE0" w14:paraId="111F8714" w14:textId="77777777" w:rsidTr="00EB1DE8">
        <w:trPr>
          <w:trHeight w:val="2101"/>
        </w:trPr>
        <w:tc>
          <w:tcPr>
            <w:tcW w:w="1701" w:type="dxa"/>
            <w:tcBorders>
              <w:top w:val="single" w:sz="4" w:space="0" w:color="auto"/>
              <w:left w:val="nil"/>
              <w:bottom w:val="single" w:sz="4" w:space="0" w:color="auto"/>
              <w:right w:val="nil"/>
            </w:tcBorders>
          </w:tcPr>
          <w:p w14:paraId="465D9D99" w14:textId="77777777" w:rsidR="0078251D" w:rsidRPr="008A32BE" w:rsidRDefault="0078251D" w:rsidP="0078251D">
            <w:pPr>
              <w:tabs>
                <w:tab w:val="num" w:pos="284"/>
              </w:tabs>
              <w:spacing w:after="0"/>
              <w:ind w:left="-110"/>
              <w:jc w:val="right"/>
              <w:rPr>
                <w:rFonts w:cstheme="minorHAnsi"/>
                <w:szCs w:val="24"/>
              </w:rPr>
            </w:pPr>
            <w:r w:rsidRPr="008A32BE">
              <w:rPr>
                <w:rFonts w:cstheme="minorHAnsi"/>
                <w:b/>
                <w:szCs w:val="24"/>
              </w:rPr>
              <w:t>Non-Current Assets</w:t>
            </w:r>
          </w:p>
        </w:tc>
        <w:tc>
          <w:tcPr>
            <w:tcW w:w="1276" w:type="dxa"/>
            <w:tcBorders>
              <w:top w:val="single" w:sz="4" w:space="0" w:color="auto"/>
              <w:left w:val="nil"/>
              <w:bottom w:val="single" w:sz="4" w:space="0" w:color="auto"/>
              <w:right w:val="nil"/>
            </w:tcBorders>
            <w:hideMark/>
          </w:tcPr>
          <w:p w14:paraId="1073C509" w14:textId="1EA1FBAC" w:rsidR="0078251D" w:rsidRPr="008A32BE" w:rsidRDefault="0078251D" w:rsidP="0078251D">
            <w:pPr>
              <w:tabs>
                <w:tab w:val="num" w:pos="1080"/>
              </w:tabs>
              <w:spacing w:after="0"/>
              <w:jc w:val="right"/>
              <w:rPr>
                <w:rFonts w:cstheme="minorHAnsi"/>
                <w:szCs w:val="24"/>
              </w:rPr>
            </w:pPr>
            <w:r w:rsidRPr="008A32BE">
              <w:rPr>
                <w:rFonts w:cstheme="minorHAnsi"/>
                <w:szCs w:val="24"/>
              </w:rPr>
              <w:t>£</w:t>
            </w:r>
            <w:r w:rsidR="006D5D7B" w:rsidRPr="008A32BE">
              <w:rPr>
                <w:rFonts w:cstheme="minorHAnsi"/>
                <w:szCs w:val="24"/>
              </w:rPr>
              <w:t>1</w:t>
            </w:r>
            <w:r w:rsidR="007855C3" w:rsidRPr="008A32BE">
              <w:rPr>
                <w:rFonts w:cstheme="minorHAnsi"/>
                <w:szCs w:val="24"/>
              </w:rPr>
              <w:t>11.6</w:t>
            </w:r>
            <w:r w:rsidR="006D5D7B" w:rsidRPr="008A32BE">
              <w:rPr>
                <w:rFonts w:cstheme="minorHAnsi"/>
                <w:szCs w:val="24"/>
              </w:rPr>
              <w:t>m</w:t>
            </w:r>
          </w:p>
          <w:p w14:paraId="445AA490" w14:textId="77777777" w:rsidR="0078251D" w:rsidRPr="008A32BE" w:rsidRDefault="0078251D" w:rsidP="0078251D">
            <w:pPr>
              <w:tabs>
                <w:tab w:val="num" w:pos="1080"/>
              </w:tabs>
              <w:spacing w:after="0"/>
              <w:jc w:val="right"/>
              <w:rPr>
                <w:rFonts w:cstheme="minorHAnsi"/>
                <w:szCs w:val="24"/>
              </w:rPr>
            </w:pPr>
          </w:p>
        </w:tc>
        <w:tc>
          <w:tcPr>
            <w:tcW w:w="6945" w:type="dxa"/>
            <w:tcBorders>
              <w:top w:val="single" w:sz="4" w:space="0" w:color="auto"/>
              <w:left w:val="nil"/>
              <w:bottom w:val="single" w:sz="4" w:space="0" w:color="auto"/>
              <w:right w:val="nil"/>
            </w:tcBorders>
            <w:hideMark/>
          </w:tcPr>
          <w:p w14:paraId="64680E4A" w14:textId="76A3772B" w:rsidR="0078251D" w:rsidRPr="008A32BE" w:rsidRDefault="0078251D" w:rsidP="0078251D">
            <w:pPr>
              <w:spacing w:after="0"/>
              <w:ind w:left="25"/>
              <w:rPr>
                <w:rFonts w:cstheme="minorHAnsi"/>
                <w:szCs w:val="24"/>
              </w:rPr>
            </w:pPr>
            <w:r w:rsidRPr="008A32BE">
              <w:rPr>
                <w:rFonts w:cstheme="minorHAnsi"/>
                <w:szCs w:val="24"/>
              </w:rPr>
              <w:t>In</w:t>
            </w:r>
            <w:r w:rsidR="00B92029" w:rsidRPr="008A32BE">
              <w:rPr>
                <w:rFonts w:cstheme="minorHAnsi"/>
                <w:szCs w:val="24"/>
              </w:rPr>
              <w:t xml:space="preserve">tangible assets: </w:t>
            </w:r>
            <w:r w:rsidR="006D5D7B" w:rsidRPr="008A32BE">
              <w:rPr>
                <w:rFonts w:cstheme="minorHAnsi"/>
                <w:szCs w:val="24"/>
              </w:rPr>
              <w:t>increased</w:t>
            </w:r>
            <w:r w:rsidR="00B92029" w:rsidRPr="008A32BE">
              <w:rPr>
                <w:rFonts w:cstheme="minorHAnsi"/>
                <w:szCs w:val="24"/>
              </w:rPr>
              <w:t xml:space="preserve"> by £0.</w:t>
            </w:r>
            <w:r w:rsidR="007855C3" w:rsidRPr="008A32BE">
              <w:rPr>
                <w:rFonts w:cstheme="minorHAnsi"/>
                <w:szCs w:val="24"/>
              </w:rPr>
              <w:t>3</w:t>
            </w:r>
            <w:r w:rsidR="00B92029" w:rsidRPr="008A32BE">
              <w:rPr>
                <w:rFonts w:cstheme="minorHAnsi"/>
                <w:szCs w:val="24"/>
              </w:rPr>
              <w:t>m to £</w:t>
            </w:r>
            <w:r w:rsidR="007855C3" w:rsidRPr="008A32BE">
              <w:rPr>
                <w:rFonts w:cstheme="minorHAnsi"/>
                <w:szCs w:val="24"/>
              </w:rPr>
              <w:t>4.2</w:t>
            </w:r>
            <w:r w:rsidRPr="008A32BE">
              <w:rPr>
                <w:rFonts w:cstheme="minorHAnsi"/>
                <w:szCs w:val="24"/>
              </w:rPr>
              <w:t>m reflecting capital expenditure in IT infrastructure</w:t>
            </w:r>
            <w:r w:rsidR="00B92029" w:rsidRPr="008A32BE">
              <w:rPr>
                <w:rFonts w:cstheme="minorHAnsi"/>
                <w:szCs w:val="24"/>
              </w:rPr>
              <w:t xml:space="preserve"> </w:t>
            </w:r>
            <w:r w:rsidR="006D5D7B" w:rsidRPr="008A32BE">
              <w:rPr>
                <w:rFonts w:cstheme="minorHAnsi"/>
                <w:szCs w:val="24"/>
              </w:rPr>
              <w:t>offset by depreciation</w:t>
            </w:r>
            <w:r w:rsidRPr="008A32BE">
              <w:rPr>
                <w:rFonts w:cstheme="minorHAnsi"/>
                <w:szCs w:val="24"/>
              </w:rPr>
              <w:t>.</w:t>
            </w:r>
          </w:p>
          <w:p w14:paraId="06F90EE5" w14:textId="2919D2C8" w:rsidR="0078251D" w:rsidRPr="008A32BE" w:rsidRDefault="0078251D" w:rsidP="0078251D">
            <w:pPr>
              <w:spacing w:after="0"/>
              <w:ind w:left="25"/>
              <w:rPr>
                <w:rFonts w:cstheme="minorHAnsi"/>
                <w:szCs w:val="24"/>
              </w:rPr>
            </w:pPr>
            <w:r w:rsidRPr="008A32BE">
              <w:rPr>
                <w:rFonts w:cstheme="minorHAnsi"/>
                <w:szCs w:val="24"/>
              </w:rPr>
              <w:t>Property plant and equipment: increased by £</w:t>
            </w:r>
            <w:r w:rsidR="007855C3" w:rsidRPr="008A32BE">
              <w:rPr>
                <w:rFonts w:cstheme="minorHAnsi"/>
                <w:szCs w:val="24"/>
              </w:rPr>
              <w:t>9.1</w:t>
            </w:r>
            <w:r w:rsidR="00B92029" w:rsidRPr="008A32BE">
              <w:rPr>
                <w:rFonts w:cstheme="minorHAnsi"/>
                <w:szCs w:val="24"/>
              </w:rPr>
              <w:t>m</w:t>
            </w:r>
            <w:r w:rsidR="009A3D86" w:rsidRPr="008A32BE">
              <w:rPr>
                <w:rFonts w:cstheme="minorHAnsi"/>
                <w:szCs w:val="24"/>
              </w:rPr>
              <w:t xml:space="preserve"> </w:t>
            </w:r>
            <w:r w:rsidRPr="008A32BE">
              <w:rPr>
                <w:rFonts w:cstheme="minorHAnsi"/>
                <w:szCs w:val="24"/>
              </w:rPr>
              <w:t>to £</w:t>
            </w:r>
            <w:r w:rsidR="007855C3" w:rsidRPr="008A32BE">
              <w:rPr>
                <w:rFonts w:cstheme="minorHAnsi"/>
                <w:szCs w:val="24"/>
              </w:rPr>
              <w:t>106.0</w:t>
            </w:r>
            <w:r w:rsidR="00B92029" w:rsidRPr="008A32BE">
              <w:rPr>
                <w:rFonts w:cstheme="minorHAnsi"/>
                <w:szCs w:val="24"/>
              </w:rPr>
              <w:t>m</w:t>
            </w:r>
            <w:r w:rsidRPr="008A32BE">
              <w:rPr>
                <w:rFonts w:cstheme="minorHAnsi"/>
                <w:szCs w:val="24"/>
              </w:rPr>
              <w:t xml:space="preserve"> due to capital expenditure partially offset by depreciation and revaluation. Major movements are:</w:t>
            </w:r>
          </w:p>
          <w:p w14:paraId="1BBD0AC9" w14:textId="388480B7" w:rsidR="0078251D" w:rsidRPr="008A32BE" w:rsidRDefault="00B92029" w:rsidP="0078251D">
            <w:pPr>
              <w:pStyle w:val="ListParagraph"/>
              <w:numPr>
                <w:ilvl w:val="0"/>
                <w:numId w:val="37"/>
              </w:numPr>
              <w:spacing w:after="0"/>
              <w:rPr>
                <w:rFonts w:cstheme="minorHAnsi"/>
                <w:szCs w:val="24"/>
              </w:rPr>
            </w:pPr>
            <w:r w:rsidRPr="008A32BE">
              <w:rPr>
                <w:rFonts w:cstheme="minorHAnsi"/>
                <w:szCs w:val="24"/>
              </w:rPr>
              <w:t xml:space="preserve">New </w:t>
            </w:r>
            <w:r w:rsidR="006D5D7B" w:rsidRPr="008A32BE">
              <w:rPr>
                <w:rFonts w:cstheme="minorHAnsi"/>
                <w:szCs w:val="24"/>
              </w:rPr>
              <w:t>additions of +£</w:t>
            </w:r>
            <w:r w:rsidR="004C7D7E" w:rsidRPr="008A32BE">
              <w:rPr>
                <w:rFonts w:cstheme="minorHAnsi"/>
                <w:szCs w:val="24"/>
              </w:rPr>
              <w:t>1</w:t>
            </w:r>
            <w:r w:rsidR="007855C3" w:rsidRPr="008A32BE">
              <w:rPr>
                <w:rFonts w:cstheme="minorHAnsi"/>
                <w:szCs w:val="24"/>
              </w:rPr>
              <w:t>3.3</w:t>
            </w:r>
            <w:r w:rsidR="0078251D" w:rsidRPr="008A32BE">
              <w:rPr>
                <w:rFonts w:cstheme="minorHAnsi"/>
                <w:szCs w:val="24"/>
              </w:rPr>
              <w:t>m</w:t>
            </w:r>
          </w:p>
          <w:p w14:paraId="3E537F36" w14:textId="17BBE21B" w:rsidR="0078251D" w:rsidRPr="008A32BE" w:rsidRDefault="006D5D7B" w:rsidP="0078251D">
            <w:pPr>
              <w:pStyle w:val="ListParagraph"/>
              <w:numPr>
                <w:ilvl w:val="0"/>
                <w:numId w:val="37"/>
              </w:numPr>
              <w:spacing w:after="0"/>
              <w:rPr>
                <w:rFonts w:cstheme="minorHAnsi"/>
                <w:szCs w:val="24"/>
              </w:rPr>
            </w:pPr>
            <w:r w:rsidRPr="008A32BE">
              <w:rPr>
                <w:rFonts w:cstheme="minorHAnsi"/>
                <w:szCs w:val="24"/>
              </w:rPr>
              <w:t>Depreciation of -£</w:t>
            </w:r>
            <w:r w:rsidR="007855C3" w:rsidRPr="008A32BE">
              <w:rPr>
                <w:rFonts w:cstheme="minorHAnsi"/>
                <w:szCs w:val="24"/>
              </w:rPr>
              <w:t>7.4</w:t>
            </w:r>
            <w:r w:rsidR="0078251D" w:rsidRPr="008A32BE">
              <w:rPr>
                <w:rFonts w:cstheme="minorHAnsi"/>
                <w:szCs w:val="24"/>
              </w:rPr>
              <w:t>m</w:t>
            </w:r>
          </w:p>
          <w:p w14:paraId="6172EDF4" w14:textId="678C0B42" w:rsidR="0078251D" w:rsidRPr="008A32BE" w:rsidRDefault="006D5D7B" w:rsidP="006D5D7B">
            <w:pPr>
              <w:pStyle w:val="ListParagraph"/>
              <w:numPr>
                <w:ilvl w:val="0"/>
                <w:numId w:val="37"/>
              </w:numPr>
              <w:spacing w:after="0"/>
              <w:rPr>
                <w:rFonts w:cstheme="minorHAnsi"/>
                <w:szCs w:val="24"/>
              </w:rPr>
            </w:pPr>
            <w:r w:rsidRPr="008A32BE">
              <w:rPr>
                <w:rFonts w:cstheme="minorHAnsi"/>
                <w:szCs w:val="24"/>
              </w:rPr>
              <w:t xml:space="preserve">Net </w:t>
            </w:r>
            <w:r w:rsidR="007855C3" w:rsidRPr="008A32BE">
              <w:rPr>
                <w:rFonts w:cstheme="minorHAnsi"/>
                <w:szCs w:val="24"/>
              </w:rPr>
              <w:t>revaluation gain</w:t>
            </w:r>
            <w:r w:rsidRPr="008A32BE">
              <w:rPr>
                <w:rFonts w:cstheme="minorHAnsi"/>
                <w:szCs w:val="24"/>
              </w:rPr>
              <w:t xml:space="preserve"> to </w:t>
            </w:r>
            <w:r w:rsidR="009956B1">
              <w:rPr>
                <w:rFonts w:cstheme="minorHAnsi"/>
                <w:szCs w:val="24"/>
              </w:rPr>
              <w:t>the R</w:t>
            </w:r>
            <w:r w:rsidRPr="008A32BE">
              <w:rPr>
                <w:rFonts w:cstheme="minorHAnsi"/>
                <w:szCs w:val="24"/>
              </w:rPr>
              <w:t xml:space="preserve">evaluation </w:t>
            </w:r>
            <w:r w:rsidR="009956B1">
              <w:rPr>
                <w:rFonts w:cstheme="minorHAnsi"/>
                <w:szCs w:val="24"/>
              </w:rPr>
              <w:t>R</w:t>
            </w:r>
            <w:r w:rsidRPr="008A32BE">
              <w:rPr>
                <w:rFonts w:cstheme="minorHAnsi"/>
                <w:szCs w:val="24"/>
              </w:rPr>
              <w:t xml:space="preserve">eserve </w:t>
            </w:r>
            <w:r w:rsidR="009956B1">
              <w:rPr>
                <w:rFonts w:cstheme="minorHAnsi"/>
                <w:szCs w:val="24"/>
              </w:rPr>
              <w:t xml:space="preserve">of </w:t>
            </w:r>
            <w:r w:rsidRPr="008A32BE">
              <w:rPr>
                <w:rFonts w:cstheme="minorHAnsi"/>
                <w:szCs w:val="24"/>
              </w:rPr>
              <w:t>£</w:t>
            </w:r>
            <w:r w:rsidR="007855C3" w:rsidRPr="008A32BE">
              <w:rPr>
                <w:rFonts w:cstheme="minorHAnsi"/>
                <w:szCs w:val="24"/>
              </w:rPr>
              <w:t>3.2</w:t>
            </w:r>
            <w:r w:rsidRPr="008A32BE">
              <w:rPr>
                <w:rFonts w:cstheme="minorHAnsi"/>
                <w:szCs w:val="24"/>
              </w:rPr>
              <w:t>m</w:t>
            </w:r>
          </w:p>
        </w:tc>
      </w:tr>
      <w:tr w:rsidR="0078251D" w:rsidRPr="00DD3CE0" w14:paraId="419B1FF1" w14:textId="77777777" w:rsidTr="00736235">
        <w:trPr>
          <w:trHeight w:val="2535"/>
        </w:trPr>
        <w:tc>
          <w:tcPr>
            <w:tcW w:w="1701" w:type="dxa"/>
            <w:tcBorders>
              <w:top w:val="single" w:sz="4" w:space="0" w:color="auto"/>
              <w:left w:val="nil"/>
              <w:bottom w:val="single" w:sz="4" w:space="0" w:color="auto"/>
              <w:right w:val="nil"/>
            </w:tcBorders>
            <w:hideMark/>
          </w:tcPr>
          <w:p w14:paraId="018DD127" w14:textId="77777777" w:rsidR="0078251D" w:rsidRPr="00C60920" w:rsidRDefault="0078251D" w:rsidP="0078251D">
            <w:pPr>
              <w:tabs>
                <w:tab w:val="num" w:pos="284"/>
              </w:tabs>
              <w:spacing w:after="0"/>
              <w:ind w:left="-110"/>
              <w:jc w:val="right"/>
              <w:rPr>
                <w:rFonts w:cstheme="minorHAnsi"/>
                <w:b/>
                <w:szCs w:val="24"/>
              </w:rPr>
            </w:pPr>
            <w:r w:rsidRPr="00C60920">
              <w:rPr>
                <w:rFonts w:cstheme="minorHAnsi"/>
                <w:b/>
                <w:szCs w:val="24"/>
              </w:rPr>
              <w:t>Current Assets</w:t>
            </w:r>
          </w:p>
        </w:tc>
        <w:tc>
          <w:tcPr>
            <w:tcW w:w="1276" w:type="dxa"/>
            <w:tcBorders>
              <w:top w:val="single" w:sz="4" w:space="0" w:color="auto"/>
              <w:left w:val="nil"/>
              <w:bottom w:val="single" w:sz="4" w:space="0" w:color="auto"/>
              <w:right w:val="nil"/>
            </w:tcBorders>
            <w:hideMark/>
          </w:tcPr>
          <w:p w14:paraId="389D7233" w14:textId="622E7C19" w:rsidR="0078251D" w:rsidRPr="00C60920" w:rsidRDefault="0078251D" w:rsidP="0078251D">
            <w:pPr>
              <w:tabs>
                <w:tab w:val="num" w:pos="1080"/>
              </w:tabs>
              <w:spacing w:after="0"/>
              <w:jc w:val="right"/>
              <w:rPr>
                <w:rFonts w:cstheme="minorHAnsi"/>
                <w:szCs w:val="24"/>
              </w:rPr>
            </w:pPr>
            <w:r w:rsidRPr="00C60920">
              <w:rPr>
                <w:rFonts w:cstheme="minorHAnsi"/>
                <w:szCs w:val="24"/>
              </w:rPr>
              <w:t>£</w:t>
            </w:r>
            <w:r w:rsidR="006D5D7B" w:rsidRPr="00C60920">
              <w:rPr>
                <w:rFonts w:cstheme="minorHAnsi"/>
                <w:szCs w:val="24"/>
              </w:rPr>
              <w:t>9</w:t>
            </w:r>
            <w:r w:rsidR="008A32BE" w:rsidRPr="00C60920">
              <w:rPr>
                <w:rFonts w:cstheme="minorHAnsi"/>
                <w:szCs w:val="24"/>
              </w:rPr>
              <w:t>7.</w:t>
            </w:r>
            <w:r w:rsidR="003E50EE">
              <w:rPr>
                <w:rFonts w:cstheme="minorHAnsi"/>
                <w:szCs w:val="24"/>
              </w:rPr>
              <w:t>5</w:t>
            </w:r>
            <w:r w:rsidR="006D5D7B" w:rsidRPr="00C60920">
              <w:rPr>
                <w:rFonts w:cstheme="minorHAnsi"/>
                <w:szCs w:val="24"/>
              </w:rPr>
              <w:t>m</w:t>
            </w:r>
          </w:p>
          <w:p w14:paraId="0B32EEBD" w14:textId="77777777" w:rsidR="0078251D" w:rsidRPr="00C60920" w:rsidRDefault="0078251D" w:rsidP="0078251D">
            <w:pPr>
              <w:tabs>
                <w:tab w:val="num" w:pos="1080"/>
              </w:tabs>
              <w:spacing w:after="0"/>
              <w:jc w:val="right"/>
              <w:rPr>
                <w:rFonts w:cstheme="minorHAnsi"/>
                <w:szCs w:val="24"/>
              </w:rPr>
            </w:pPr>
          </w:p>
        </w:tc>
        <w:tc>
          <w:tcPr>
            <w:tcW w:w="6945" w:type="dxa"/>
            <w:tcBorders>
              <w:top w:val="single" w:sz="4" w:space="0" w:color="auto"/>
              <w:left w:val="nil"/>
              <w:bottom w:val="single" w:sz="4" w:space="0" w:color="auto"/>
              <w:right w:val="nil"/>
            </w:tcBorders>
            <w:hideMark/>
          </w:tcPr>
          <w:p w14:paraId="3BFD904B" w14:textId="0EC4D458" w:rsidR="0078251D" w:rsidRPr="006D04B5" w:rsidRDefault="0078251D" w:rsidP="0078251D">
            <w:pPr>
              <w:tabs>
                <w:tab w:val="num" w:pos="1080"/>
              </w:tabs>
              <w:spacing w:after="0"/>
              <w:ind w:left="25"/>
              <w:rPr>
                <w:rFonts w:cstheme="minorHAnsi"/>
                <w:szCs w:val="24"/>
              </w:rPr>
            </w:pPr>
            <w:r w:rsidRPr="006D04B5">
              <w:rPr>
                <w:rFonts w:cstheme="minorHAnsi"/>
                <w:szCs w:val="24"/>
              </w:rPr>
              <w:t xml:space="preserve">Trade and other receivables </w:t>
            </w:r>
            <w:r w:rsidR="00C60920" w:rsidRPr="006D04B5">
              <w:rPr>
                <w:rFonts w:cstheme="minorHAnsi"/>
                <w:szCs w:val="24"/>
              </w:rPr>
              <w:t>increased</w:t>
            </w:r>
            <w:r w:rsidRPr="006D04B5">
              <w:rPr>
                <w:rFonts w:cstheme="minorHAnsi"/>
                <w:szCs w:val="24"/>
              </w:rPr>
              <w:t xml:space="preserve"> </w:t>
            </w:r>
            <w:r w:rsidR="00C60920" w:rsidRPr="006D04B5">
              <w:rPr>
                <w:rFonts w:cstheme="minorHAnsi"/>
                <w:szCs w:val="24"/>
              </w:rPr>
              <w:t>by £</w:t>
            </w:r>
            <w:r w:rsidR="003E50EE">
              <w:rPr>
                <w:rFonts w:cstheme="minorHAnsi"/>
                <w:szCs w:val="24"/>
              </w:rPr>
              <w:t>4.2</w:t>
            </w:r>
            <w:r w:rsidR="00C60920" w:rsidRPr="006D04B5">
              <w:rPr>
                <w:rFonts w:cstheme="minorHAnsi"/>
                <w:szCs w:val="24"/>
              </w:rPr>
              <w:t>m</w:t>
            </w:r>
            <w:r w:rsidR="00B92029" w:rsidRPr="006D04B5">
              <w:rPr>
                <w:rFonts w:cstheme="minorHAnsi"/>
                <w:szCs w:val="24"/>
              </w:rPr>
              <w:t xml:space="preserve"> </w:t>
            </w:r>
            <w:r w:rsidR="00C60920" w:rsidRPr="006D04B5">
              <w:rPr>
                <w:rFonts w:cstheme="minorHAnsi"/>
                <w:szCs w:val="24"/>
              </w:rPr>
              <w:t xml:space="preserve">in </w:t>
            </w:r>
            <w:r w:rsidR="00B92029" w:rsidRPr="006D04B5">
              <w:rPr>
                <w:rFonts w:cstheme="minorHAnsi"/>
                <w:szCs w:val="24"/>
              </w:rPr>
              <w:t>20</w:t>
            </w:r>
            <w:r w:rsidR="00C60920" w:rsidRPr="006D04B5">
              <w:rPr>
                <w:rFonts w:cstheme="minorHAnsi"/>
                <w:szCs w:val="24"/>
              </w:rPr>
              <w:t>2</w:t>
            </w:r>
            <w:r w:rsidR="0074750B">
              <w:rPr>
                <w:rFonts w:cstheme="minorHAnsi"/>
                <w:szCs w:val="24"/>
              </w:rPr>
              <w:t>1</w:t>
            </w:r>
            <w:r w:rsidR="00C60920" w:rsidRPr="006D04B5">
              <w:rPr>
                <w:rFonts w:cstheme="minorHAnsi"/>
                <w:szCs w:val="24"/>
              </w:rPr>
              <w:t>/2</w:t>
            </w:r>
            <w:r w:rsidR="0074750B">
              <w:rPr>
                <w:rFonts w:cstheme="minorHAnsi"/>
                <w:szCs w:val="24"/>
              </w:rPr>
              <w:t>2</w:t>
            </w:r>
            <w:r w:rsidR="00E162A4" w:rsidRPr="006D04B5">
              <w:rPr>
                <w:rFonts w:cstheme="minorHAnsi"/>
                <w:szCs w:val="24"/>
              </w:rPr>
              <w:t xml:space="preserve">, </w:t>
            </w:r>
            <w:r w:rsidR="00C60920" w:rsidRPr="006D04B5">
              <w:rPr>
                <w:rFonts w:cstheme="minorHAnsi"/>
                <w:szCs w:val="24"/>
              </w:rPr>
              <w:t xml:space="preserve">due to </w:t>
            </w:r>
            <w:r w:rsidR="0074750B">
              <w:rPr>
                <w:rFonts w:cstheme="minorHAnsi"/>
                <w:szCs w:val="24"/>
              </w:rPr>
              <w:t>increases around R&amp;D</w:t>
            </w:r>
            <w:r w:rsidR="00C60920" w:rsidRPr="006D04B5">
              <w:rPr>
                <w:rFonts w:cstheme="minorHAnsi"/>
                <w:szCs w:val="24"/>
              </w:rPr>
              <w:t xml:space="preserve"> income </w:t>
            </w:r>
            <w:r w:rsidR="0074750B">
              <w:rPr>
                <w:rFonts w:cstheme="minorHAnsi"/>
                <w:szCs w:val="24"/>
              </w:rPr>
              <w:t>that were outstanding</w:t>
            </w:r>
            <w:r w:rsidR="00C60920" w:rsidRPr="006D04B5">
              <w:rPr>
                <w:rFonts w:cstheme="minorHAnsi"/>
                <w:szCs w:val="24"/>
              </w:rPr>
              <w:t xml:space="preserve"> at </w:t>
            </w:r>
            <w:r w:rsidR="0074750B">
              <w:rPr>
                <w:rFonts w:cstheme="minorHAnsi"/>
                <w:szCs w:val="24"/>
              </w:rPr>
              <w:t xml:space="preserve">the </w:t>
            </w:r>
            <w:r w:rsidR="00C60920" w:rsidRPr="006D04B5">
              <w:rPr>
                <w:rFonts w:cstheme="minorHAnsi"/>
                <w:szCs w:val="24"/>
              </w:rPr>
              <w:t>year end</w:t>
            </w:r>
            <w:r w:rsidRPr="006D04B5">
              <w:rPr>
                <w:rFonts w:cstheme="minorHAnsi"/>
                <w:szCs w:val="24"/>
              </w:rPr>
              <w:t>. Provisioning against debt remains prudent</w:t>
            </w:r>
            <w:r w:rsidR="0074750B">
              <w:rPr>
                <w:rFonts w:cstheme="minorHAnsi"/>
                <w:szCs w:val="24"/>
              </w:rPr>
              <w:t>,</w:t>
            </w:r>
            <w:r w:rsidR="006D5D7B" w:rsidRPr="006D04B5">
              <w:rPr>
                <w:rFonts w:cstheme="minorHAnsi"/>
                <w:szCs w:val="24"/>
              </w:rPr>
              <w:t xml:space="preserve"> but reduced </w:t>
            </w:r>
            <w:r w:rsidR="004C7D7E" w:rsidRPr="006D04B5">
              <w:rPr>
                <w:rFonts w:cstheme="minorHAnsi"/>
                <w:szCs w:val="24"/>
              </w:rPr>
              <w:t xml:space="preserve">from the prior year </w:t>
            </w:r>
            <w:r w:rsidR="00EA2F0F" w:rsidRPr="006D04B5">
              <w:rPr>
                <w:rFonts w:cstheme="minorHAnsi"/>
                <w:szCs w:val="24"/>
              </w:rPr>
              <w:t>due to</w:t>
            </w:r>
            <w:r w:rsidR="004C7D7E" w:rsidRPr="006D04B5">
              <w:rPr>
                <w:rFonts w:cstheme="minorHAnsi"/>
                <w:szCs w:val="24"/>
              </w:rPr>
              <w:t xml:space="preserve"> </w:t>
            </w:r>
            <w:r w:rsidR="006D5D7B" w:rsidRPr="006D04B5">
              <w:rPr>
                <w:rFonts w:cstheme="minorHAnsi"/>
                <w:szCs w:val="24"/>
              </w:rPr>
              <w:t xml:space="preserve">lower </w:t>
            </w:r>
            <w:r w:rsidR="00EA2F0F" w:rsidRPr="006D04B5">
              <w:rPr>
                <w:rFonts w:cstheme="minorHAnsi"/>
                <w:szCs w:val="24"/>
              </w:rPr>
              <w:t xml:space="preserve">levels of </w:t>
            </w:r>
            <w:r w:rsidR="006D5D7B" w:rsidRPr="006D04B5">
              <w:rPr>
                <w:rFonts w:cstheme="minorHAnsi"/>
                <w:szCs w:val="24"/>
              </w:rPr>
              <w:t>aged debt</w:t>
            </w:r>
            <w:r w:rsidRPr="006D04B5">
              <w:rPr>
                <w:rFonts w:cstheme="minorHAnsi"/>
                <w:szCs w:val="24"/>
              </w:rPr>
              <w:t>.</w:t>
            </w:r>
          </w:p>
          <w:p w14:paraId="0995599A" w14:textId="70D23E4B" w:rsidR="0078251D" w:rsidRPr="00DD3CE0" w:rsidRDefault="0078251D" w:rsidP="006D5D7B">
            <w:pPr>
              <w:tabs>
                <w:tab w:val="num" w:pos="1080"/>
              </w:tabs>
              <w:spacing w:after="0"/>
              <w:ind w:left="25"/>
              <w:rPr>
                <w:rFonts w:cstheme="minorHAnsi"/>
                <w:szCs w:val="24"/>
                <w:highlight w:val="yellow"/>
              </w:rPr>
            </w:pPr>
            <w:r w:rsidRPr="008A32BE">
              <w:rPr>
                <w:rFonts w:cstheme="minorHAnsi"/>
                <w:szCs w:val="24"/>
              </w:rPr>
              <w:t xml:space="preserve">Cash and Cash Equivalents were </w:t>
            </w:r>
            <w:r w:rsidR="006D5D7B" w:rsidRPr="008A32BE">
              <w:rPr>
                <w:rFonts w:cstheme="minorHAnsi"/>
                <w:szCs w:val="24"/>
              </w:rPr>
              <w:t>£6</w:t>
            </w:r>
            <w:r w:rsidR="008A32BE" w:rsidRPr="008A32BE">
              <w:rPr>
                <w:rFonts w:cstheme="minorHAnsi"/>
                <w:szCs w:val="24"/>
              </w:rPr>
              <w:t>9.3</w:t>
            </w:r>
            <w:r w:rsidRPr="008A32BE">
              <w:rPr>
                <w:rFonts w:cstheme="minorHAnsi"/>
                <w:szCs w:val="24"/>
              </w:rPr>
              <w:t>m at the end of the fin</w:t>
            </w:r>
            <w:r w:rsidR="006D5D7B" w:rsidRPr="008A32BE">
              <w:rPr>
                <w:rFonts w:cstheme="minorHAnsi"/>
                <w:szCs w:val="24"/>
              </w:rPr>
              <w:t>ancial year, an increase of £</w:t>
            </w:r>
            <w:r w:rsidR="008A32BE" w:rsidRPr="008A32BE">
              <w:rPr>
                <w:rFonts w:cstheme="minorHAnsi"/>
                <w:szCs w:val="24"/>
              </w:rPr>
              <w:t>0</w:t>
            </w:r>
            <w:r w:rsidR="006D5D7B" w:rsidRPr="008A32BE">
              <w:rPr>
                <w:rFonts w:cstheme="minorHAnsi"/>
                <w:szCs w:val="24"/>
              </w:rPr>
              <w:t>.9</w:t>
            </w:r>
            <w:r w:rsidRPr="008A32BE">
              <w:rPr>
                <w:rFonts w:cstheme="minorHAnsi"/>
                <w:szCs w:val="24"/>
              </w:rPr>
              <w:t>m compared to 20</w:t>
            </w:r>
            <w:r w:rsidR="008A32BE" w:rsidRPr="008A32BE">
              <w:rPr>
                <w:rFonts w:cstheme="minorHAnsi"/>
                <w:szCs w:val="24"/>
              </w:rPr>
              <w:t>21</w:t>
            </w:r>
            <w:r w:rsidR="006D5D7B" w:rsidRPr="008A32BE">
              <w:rPr>
                <w:rFonts w:cstheme="minorHAnsi"/>
                <w:szCs w:val="24"/>
              </w:rPr>
              <w:t>/2</w:t>
            </w:r>
            <w:r w:rsidR="008A32BE" w:rsidRPr="008A32BE">
              <w:rPr>
                <w:rFonts w:cstheme="minorHAnsi"/>
                <w:szCs w:val="24"/>
              </w:rPr>
              <w:t>2</w:t>
            </w:r>
            <w:r w:rsidR="00340879" w:rsidRPr="008A32BE">
              <w:rPr>
                <w:rFonts w:cstheme="minorHAnsi"/>
                <w:szCs w:val="24"/>
              </w:rPr>
              <w:t xml:space="preserve">. </w:t>
            </w:r>
          </w:p>
        </w:tc>
      </w:tr>
      <w:tr w:rsidR="0078251D" w:rsidRPr="00DD3CE0" w14:paraId="669BE5DA" w14:textId="77777777" w:rsidTr="00EB1DE8">
        <w:trPr>
          <w:trHeight w:val="850"/>
        </w:trPr>
        <w:tc>
          <w:tcPr>
            <w:tcW w:w="1701" w:type="dxa"/>
            <w:tcBorders>
              <w:top w:val="single" w:sz="4" w:space="0" w:color="auto"/>
              <w:left w:val="nil"/>
              <w:bottom w:val="single" w:sz="4" w:space="0" w:color="auto"/>
              <w:right w:val="nil"/>
            </w:tcBorders>
            <w:hideMark/>
          </w:tcPr>
          <w:p w14:paraId="772546D3" w14:textId="77777777" w:rsidR="0078251D" w:rsidRPr="00541DB6" w:rsidRDefault="0078251D" w:rsidP="0078251D">
            <w:pPr>
              <w:tabs>
                <w:tab w:val="num" w:pos="284"/>
              </w:tabs>
              <w:spacing w:after="0"/>
              <w:ind w:left="-110"/>
              <w:jc w:val="right"/>
              <w:rPr>
                <w:rFonts w:cstheme="minorHAnsi"/>
                <w:b/>
                <w:szCs w:val="24"/>
              </w:rPr>
            </w:pPr>
            <w:r w:rsidRPr="00541DB6">
              <w:rPr>
                <w:rFonts w:cstheme="minorHAnsi"/>
                <w:b/>
                <w:szCs w:val="24"/>
              </w:rPr>
              <w:t>Current Liabilities</w:t>
            </w:r>
          </w:p>
        </w:tc>
        <w:tc>
          <w:tcPr>
            <w:tcW w:w="1276" w:type="dxa"/>
            <w:tcBorders>
              <w:top w:val="single" w:sz="4" w:space="0" w:color="auto"/>
              <w:left w:val="nil"/>
              <w:bottom w:val="single" w:sz="4" w:space="0" w:color="auto"/>
              <w:right w:val="nil"/>
            </w:tcBorders>
            <w:hideMark/>
          </w:tcPr>
          <w:p w14:paraId="6C1B0A88" w14:textId="5700134C" w:rsidR="0078251D" w:rsidRPr="00541DB6" w:rsidRDefault="0078251D" w:rsidP="0078251D">
            <w:pPr>
              <w:tabs>
                <w:tab w:val="num" w:pos="1080"/>
              </w:tabs>
              <w:spacing w:after="0"/>
              <w:jc w:val="right"/>
              <w:rPr>
                <w:rFonts w:cstheme="minorHAnsi"/>
                <w:szCs w:val="24"/>
              </w:rPr>
            </w:pPr>
            <w:r w:rsidRPr="00541DB6">
              <w:rPr>
                <w:rFonts w:cstheme="minorHAnsi"/>
                <w:szCs w:val="24"/>
              </w:rPr>
              <w:t>£</w:t>
            </w:r>
            <w:r w:rsidR="006D04B5" w:rsidRPr="00541DB6">
              <w:rPr>
                <w:rFonts w:cstheme="minorHAnsi"/>
                <w:szCs w:val="24"/>
              </w:rPr>
              <w:t>55.</w:t>
            </w:r>
            <w:r w:rsidR="003E50EE">
              <w:rPr>
                <w:rFonts w:cstheme="minorHAnsi"/>
                <w:szCs w:val="24"/>
              </w:rPr>
              <w:t>2</w:t>
            </w:r>
            <w:r w:rsidR="00E162A4" w:rsidRPr="00541DB6">
              <w:rPr>
                <w:rFonts w:cstheme="minorHAnsi"/>
                <w:szCs w:val="24"/>
              </w:rPr>
              <w:t>m</w:t>
            </w:r>
          </w:p>
          <w:p w14:paraId="646FE33D" w14:textId="77777777" w:rsidR="0078251D" w:rsidRPr="00541DB6" w:rsidRDefault="0078251D" w:rsidP="0078251D">
            <w:pPr>
              <w:tabs>
                <w:tab w:val="num" w:pos="1080"/>
              </w:tabs>
              <w:spacing w:after="0"/>
              <w:jc w:val="right"/>
              <w:rPr>
                <w:rFonts w:cstheme="minorHAnsi"/>
                <w:szCs w:val="24"/>
              </w:rPr>
            </w:pPr>
          </w:p>
        </w:tc>
        <w:tc>
          <w:tcPr>
            <w:tcW w:w="6945" w:type="dxa"/>
            <w:tcBorders>
              <w:top w:val="single" w:sz="4" w:space="0" w:color="auto"/>
              <w:left w:val="nil"/>
              <w:bottom w:val="single" w:sz="4" w:space="0" w:color="auto"/>
              <w:right w:val="nil"/>
            </w:tcBorders>
          </w:tcPr>
          <w:p w14:paraId="336D814A" w14:textId="77777777" w:rsidR="001E64B3" w:rsidRPr="00541DB6" w:rsidRDefault="001E64B3" w:rsidP="0078251D">
            <w:pPr>
              <w:pStyle w:val="Default"/>
              <w:rPr>
                <w:rFonts w:asciiTheme="minorHAnsi" w:hAnsiTheme="minorHAnsi" w:cstheme="minorHAnsi"/>
                <w:color w:val="auto"/>
              </w:rPr>
            </w:pPr>
          </w:p>
          <w:p w14:paraId="0B05BD77" w14:textId="384B20EC" w:rsidR="0078251D" w:rsidRPr="00541DB6" w:rsidRDefault="0078251D" w:rsidP="0078251D">
            <w:pPr>
              <w:pStyle w:val="Default"/>
              <w:rPr>
                <w:rFonts w:asciiTheme="minorHAnsi" w:hAnsiTheme="minorHAnsi" w:cstheme="minorHAnsi"/>
                <w:color w:val="auto"/>
              </w:rPr>
            </w:pPr>
            <w:r w:rsidRPr="00541DB6">
              <w:rPr>
                <w:rFonts w:asciiTheme="minorHAnsi" w:hAnsiTheme="minorHAnsi" w:cstheme="minorHAnsi"/>
                <w:color w:val="auto"/>
              </w:rPr>
              <w:t xml:space="preserve">Current trade and other </w:t>
            </w:r>
            <w:r w:rsidR="006D5D7B" w:rsidRPr="00541DB6">
              <w:rPr>
                <w:rFonts w:asciiTheme="minorHAnsi" w:hAnsiTheme="minorHAnsi" w:cstheme="minorHAnsi"/>
                <w:color w:val="auto"/>
              </w:rPr>
              <w:t xml:space="preserve">payables </w:t>
            </w:r>
            <w:r w:rsidR="006D04B5" w:rsidRPr="00541DB6">
              <w:rPr>
                <w:rFonts w:asciiTheme="minorHAnsi" w:hAnsiTheme="minorHAnsi" w:cstheme="minorHAnsi"/>
                <w:color w:val="auto"/>
              </w:rPr>
              <w:t>reduced by £4.</w:t>
            </w:r>
            <w:r w:rsidR="003E50EE">
              <w:rPr>
                <w:rFonts w:asciiTheme="minorHAnsi" w:hAnsiTheme="minorHAnsi" w:cstheme="minorHAnsi"/>
                <w:color w:val="auto"/>
              </w:rPr>
              <w:t>3</w:t>
            </w:r>
            <w:r w:rsidR="006D04B5" w:rsidRPr="00541DB6">
              <w:rPr>
                <w:rFonts w:asciiTheme="minorHAnsi" w:hAnsiTheme="minorHAnsi" w:cstheme="minorHAnsi"/>
                <w:color w:val="auto"/>
              </w:rPr>
              <w:t>m</w:t>
            </w:r>
            <w:r w:rsidR="00C5294E" w:rsidRPr="00541DB6">
              <w:rPr>
                <w:rFonts w:asciiTheme="minorHAnsi" w:hAnsiTheme="minorHAnsi" w:cstheme="minorHAnsi"/>
                <w:color w:val="auto"/>
              </w:rPr>
              <w:t xml:space="preserve">, </w:t>
            </w:r>
            <w:r w:rsidR="0074750B">
              <w:rPr>
                <w:rFonts w:asciiTheme="minorHAnsi" w:hAnsiTheme="minorHAnsi" w:cstheme="minorHAnsi"/>
                <w:color w:val="auto"/>
              </w:rPr>
              <w:t xml:space="preserve">with a </w:t>
            </w:r>
            <w:r w:rsidR="00B64037" w:rsidRPr="00541DB6">
              <w:rPr>
                <w:rFonts w:asciiTheme="minorHAnsi" w:hAnsiTheme="minorHAnsi" w:cstheme="minorHAnsi"/>
                <w:color w:val="auto"/>
              </w:rPr>
              <w:t>£0.</w:t>
            </w:r>
            <w:r w:rsidR="00541DB6" w:rsidRPr="00541DB6">
              <w:rPr>
                <w:rFonts w:asciiTheme="minorHAnsi" w:hAnsiTheme="minorHAnsi" w:cstheme="minorHAnsi"/>
                <w:color w:val="auto"/>
              </w:rPr>
              <w:t>3</w:t>
            </w:r>
            <w:r w:rsidR="00B64037" w:rsidRPr="00541DB6">
              <w:rPr>
                <w:rFonts w:asciiTheme="minorHAnsi" w:hAnsiTheme="minorHAnsi" w:cstheme="minorHAnsi"/>
                <w:color w:val="auto"/>
              </w:rPr>
              <w:t>m</w:t>
            </w:r>
            <w:r w:rsidR="00C5294E" w:rsidRPr="00541DB6">
              <w:rPr>
                <w:rFonts w:asciiTheme="minorHAnsi" w:hAnsiTheme="minorHAnsi" w:cstheme="minorHAnsi"/>
                <w:color w:val="auto"/>
              </w:rPr>
              <w:t xml:space="preserve"> </w:t>
            </w:r>
            <w:r w:rsidR="00541DB6" w:rsidRPr="00541DB6">
              <w:rPr>
                <w:rFonts w:asciiTheme="minorHAnsi" w:hAnsiTheme="minorHAnsi" w:cstheme="minorHAnsi"/>
                <w:color w:val="auto"/>
              </w:rPr>
              <w:t xml:space="preserve">increase </w:t>
            </w:r>
            <w:r w:rsidR="0074750B">
              <w:rPr>
                <w:rFonts w:asciiTheme="minorHAnsi" w:hAnsiTheme="minorHAnsi" w:cstheme="minorHAnsi"/>
                <w:color w:val="auto"/>
              </w:rPr>
              <w:t xml:space="preserve">in </w:t>
            </w:r>
            <w:r w:rsidR="00C5294E" w:rsidRPr="00541DB6">
              <w:rPr>
                <w:rFonts w:asciiTheme="minorHAnsi" w:hAnsiTheme="minorHAnsi" w:cstheme="minorHAnsi"/>
                <w:color w:val="auto"/>
              </w:rPr>
              <w:t xml:space="preserve">provisions, </w:t>
            </w:r>
            <w:r w:rsidR="00AF012E">
              <w:rPr>
                <w:rFonts w:asciiTheme="minorHAnsi" w:hAnsiTheme="minorHAnsi" w:cstheme="minorHAnsi"/>
                <w:color w:val="auto"/>
              </w:rPr>
              <w:t>and</w:t>
            </w:r>
            <w:r w:rsidR="00B64037" w:rsidRPr="00541DB6">
              <w:rPr>
                <w:rFonts w:asciiTheme="minorHAnsi" w:hAnsiTheme="minorHAnsi" w:cstheme="minorHAnsi"/>
                <w:color w:val="auto"/>
              </w:rPr>
              <w:t xml:space="preserve"> </w:t>
            </w:r>
            <w:r w:rsidR="0074750B">
              <w:rPr>
                <w:rFonts w:asciiTheme="minorHAnsi" w:hAnsiTheme="minorHAnsi" w:cstheme="minorHAnsi"/>
                <w:color w:val="auto"/>
              </w:rPr>
              <w:t xml:space="preserve">a </w:t>
            </w:r>
            <w:r w:rsidR="00B64037" w:rsidRPr="00541DB6">
              <w:rPr>
                <w:rFonts w:asciiTheme="minorHAnsi" w:hAnsiTheme="minorHAnsi" w:cstheme="minorHAnsi"/>
                <w:color w:val="auto"/>
              </w:rPr>
              <w:t>£</w:t>
            </w:r>
            <w:r w:rsidR="00541DB6" w:rsidRPr="00541DB6">
              <w:rPr>
                <w:rFonts w:asciiTheme="minorHAnsi" w:hAnsiTheme="minorHAnsi" w:cstheme="minorHAnsi"/>
                <w:color w:val="auto"/>
              </w:rPr>
              <w:t>3</w:t>
            </w:r>
            <w:r w:rsidR="00C5294E" w:rsidRPr="00541DB6">
              <w:rPr>
                <w:rFonts w:asciiTheme="minorHAnsi" w:hAnsiTheme="minorHAnsi" w:cstheme="minorHAnsi"/>
                <w:color w:val="auto"/>
              </w:rPr>
              <w:t xml:space="preserve">m </w:t>
            </w:r>
            <w:r w:rsidR="00AF012E">
              <w:rPr>
                <w:rFonts w:asciiTheme="minorHAnsi" w:hAnsiTheme="minorHAnsi" w:cstheme="minorHAnsi"/>
                <w:color w:val="auto"/>
              </w:rPr>
              <w:t>reduction</w:t>
            </w:r>
            <w:r w:rsidR="00C5294E" w:rsidRPr="00541DB6">
              <w:rPr>
                <w:rFonts w:asciiTheme="minorHAnsi" w:hAnsiTheme="minorHAnsi" w:cstheme="minorHAnsi"/>
                <w:color w:val="auto"/>
              </w:rPr>
              <w:t xml:space="preserve"> in </w:t>
            </w:r>
            <w:r w:rsidR="00AF012E">
              <w:rPr>
                <w:rFonts w:asciiTheme="minorHAnsi" w:hAnsiTheme="minorHAnsi" w:cstheme="minorHAnsi"/>
                <w:color w:val="auto"/>
              </w:rPr>
              <w:t>deferred income</w:t>
            </w:r>
            <w:r w:rsidR="00C5294E" w:rsidRPr="00541DB6">
              <w:rPr>
                <w:rFonts w:asciiTheme="minorHAnsi" w:hAnsiTheme="minorHAnsi" w:cstheme="minorHAnsi"/>
                <w:color w:val="auto"/>
              </w:rPr>
              <w:t>.</w:t>
            </w:r>
          </w:p>
          <w:p w14:paraId="76423FF1" w14:textId="77777777" w:rsidR="0078251D" w:rsidRPr="00541DB6" w:rsidRDefault="0078251D" w:rsidP="0078251D">
            <w:pPr>
              <w:tabs>
                <w:tab w:val="num" w:pos="1080"/>
              </w:tabs>
              <w:spacing w:after="0"/>
              <w:ind w:left="25"/>
              <w:rPr>
                <w:rFonts w:cstheme="minorHAnsi"/>
                <w:szCs w:val="24"/>
              </w:rPr>
            </w:pPr>
          </w:p>
        </w:tc>
      </w:tr>
      <w:tr w:rsidR="0078251D" w:rsidRPr="00DD3CE0" w14:paraId="6F7F2CB6" w14:textId="77777777" w:rsidTr="00DD772E">
        <w:trPr>
          <w:trHeight w:val="819"/>
        </w:trPr>
        <w:tc>
          <w:tcPr>
            <w:tcW w:w="1701" w:type="dxa"/>
            <w:tcBorders>
              <w:top w:val="single" w:sz="4" w:space="0" w:color="auto"/>
              <w:left w:val="nil"/>
              <w:bottom w:val="single" w:sz="4" w:space="0" w:color="auto"/>
              <w:right w:val="nil"/>
            </w:tcBorders>
          </w:tcPr>
          <w:p w14:paraId="05CDCC38" w14:textId="77777777" w:rsidR="0078251D" w:rsidRPr="006D04B5" w:rsidRDefault="0078251D" w:rsidP="0078251D">
            <w:pPr>
              <w:tabs>
                <w:tab w:val="num" w:pos="284"/>
              </w:tabs>
              <w:spacing w:after="0"/>
              <w:ind w:left="-110"/>
              <w:jc w:val="right"/>
              <w:rPr>
                <w:rFonts w:cstheme="minorHAnsi"/>
                <w:b/>
                <w:szCs w:val="24"/>
              </w:rPr>
            </w:pPr>
            <w:r w:rsidRPr="006D04B5">
              <w:rPr>
                <w:rFonts w:cstheme="minorHAnsi"/>
                <w:b/>
                <w:szCs w:val="24"/>
              </w:rPr>
              <w:t>Non-Current Liabilities</w:t>
            </w:r>
          </w:p>
        </w:tc>
        <w:tc>
          <w:tcPr>
            <w:tcW w:w="1276" w:type="dxa"/>
            <w:tcBorders>
              <w:top w:val="single" w:sz="4" w:space="0" w:color="auto"/>
              <w:left w:val="nil"/>
              <w:bottom w:val="single" w:sz="4" w:space="0" w:color="auto"/>
              <w:right w:val="nil"/>
            </w:tcBorders>
          </w:tcPr>
          <w:p w14:paraId="432022A9" w14:textId="3686BA34" w:rsidR="0078251D" w:rsidRPr="006D04B5" w:rsidRDefault="006D5D7B" w:rsidP="0078251D">
            <w:pPr>
              <w:tabs>
                <w:tab w:val="num" w:pos="1080"/>
              </w:tabs>
              <w:spacing w:after="0"/>
              <w:jc w:val="right"/>
              <w:rPr>
                <w:rFonts w:cstheme="minorHAnsi"/>
                <w:szCs w:val="24"/>
              </w:rPr>
            </w:pPr>
            <w:r w:rsidRPr="006D04B5">
              <w:rPr>
                <w:rFonts w:cstheme="minorHAnsi"/>
                <w:szCs w:val="24"/>
              </w:rPr>
              <w:t>£3</w:t>
            </w:r>
            <w:r w:rsidR="006D04B5" w:rsidRPr="006D04B5">
              <w:rPr>
                <w:rFonts w:cstheme="minorHAnsi"/>
                <w:szCs w:val="24"/>
              </w:rPr>
              <w:t>3.8</w:t>
            </w:r>
            <w:r w:rsidR="00E162A4" w:rsidRPr="006D04B5">
              <w:rPr>
                <w:rFonts w:cstheme="minorHAnsi"/>
                <w:szCs w:val="24"/>
              </w:rPr>
              <w:t>m</w:t>
            </w:r>
          </w:p>
          <w:p w14:paraId="42DE8E94" w14:textId="77777777" w:rsidR="0078251D" w:rsidRPr="006D04B5" w:rsidRDefault="0078251D" w:rsidP="0078251D">
            <w:pPr>
              <w:tabs>
                <w:tab w:val="num" w:pos="1080"/>
              </w:tabs>
              <w:spacing w:after="0"/>
              <w:jc w:val="right"/>
              <w:rPr>
                <w:rFonts w:cstheme="minorHAnsi"/>
                <w:szCs w:val="24"/>
              </w:rPr>
            </w:pPr>
          </w:p>
        </w:tc>
        <w:tc>
          <w:tcPr>
            <w:tcW w:w="6945" w:type="dxa"/>
            <w:tcBorders>
              <w:top w:val="single" w:sz="4" w:space="0" w:color="auto"/>
              <w:left w:val="nil"/>
              <w:bottom w:val="single" w:sz="4" w:space="0" w:color="auto"/>
              <w:right w:val="nil"/>
            </w:tcBorders>
          </w:tcPr>
          <w:p w14:paraId="6F108DCB" w14:textId="1DA9C744" w:rsidR="0078251D" w:rsidRPr="006D04B5" w:rsidRDefault="0078251D" w:rsidP="0078251D">
            <w:pPr>
              <w:tabs>
                <w:tab w:val="num" w:pos="1080"/>
              </w:tabs>
              <w:spacing w:after="0"/>
              <w:ind w:left="25"/>
              <w:rPr>
                <w:rFonts w:cstheme="minorHAnsi"/>
                <w:szCs w:val="24"/>
              </w:rPr>
            </w:pPr>
            <w:r w:rsidRPr="006D04B5">
              <w:rPr>
                <w:rFonts w:cstheme="minorHAnsi"/>
                <w:szCs w:val="24"/>
              </w:rPr>
              <w:t>Borrowings due af</w:t>
            </w:r>
            <w:r w:rsidR="00E162A4" w:rsidRPr="006D04B5">
              <w:rPr>
                <w:rFonts w:cstheme="minorHAnsi"/>
                <w:szCs w:val="24"/>
              </w:rPr>
              <w:t>t</w:t>
            </w:r>
            <w:r w:rsidR="006D5D7B" w:rsidRPr="006D04B5">
              <w:rPr>
                <w:rFonts w:cstheme="minorHAnsi"/>
                <w:szCs w:val="24"/>
              </w:rPr>
              <w:t>er more than one year are £3</w:t>
            </w:r>
            <w:r w:rsidR="006D04B5" w:rsidRPr="006D04B5">
              <w:rPr>
                <w:rFonts w:cstheme="minorHAnsi"/>
                <w:szCs w:val="24"/>
              </w:rPr>
              <w:t>1</w:t>
            </w:r>
            <w:r w:rsidR="006D5D7B" w:rsidRPr="006D04B5">
              <w:rPr>
                <w:rFonts w:cstheme="minorHAnsi"/>
                <w:szCs w:val="24"/>
              </w:rPr>
              <w:t>.</w:t>
            </w:r>
            <w:r w:rsidR="006D04B5" w:rsidRPr="006D04B5">
              <w:rPr>
                <w:rFonts w:cstheme="minorHAnsi"/>
                <w:szCs w:val="24"/>
              </w:rPr>
              <w:t>1</w:t>
            </w:r>
            <w:r w:rsidRPr="006D04B5">
              <w:rPr>
                <w:rFonts w:cstheme="minorHAnsi"/>
                <w:szCs w:val="24"/>
              </w:rPr>
              <w:t>m, reducing in line with agreed payment terms.</w:t>
            </w:r>
          </w:p>
          <w:p w14:paraId="75FF9814" w14:textId="77777777" w:rsidR="009A3D86" w:rsidRDefault="0078251D" w:rsidP="00A00A4F">
            <w:pPr>
              <w:tabs>
                <w:tab w:val="num" w:pos="1080"/>
              </w:tabs>
              <w:spacing w:after="0"/>
              <w:ind w:left="25"/>
              <w:rPr>
                <w:rFonts w:cstheme="minorHAnsi"/>
                <w:szCs w:val="24"/>
              </w:rPr>
            </w:pPr>
            <w:r w:rsidRPr="006D04B5">
              <w:rPr>
                <w:rFonts w:cstheme="minorHAnsi"/>
                <w:szCs w:val="24"/>
              </w:rPr>
              <w:t>Provisions for li</w:t>
            </w:r>
            <w:r w:rsidR="00E162A4" w:rsidRPr="006D04B5">
              <w:rPr>
                <w:rFonts w:cstheme="minorHAnsi"/>
                <w:szCs w:val="24"/>
              </w:rPr>
              <w:t xml:space="preserve">abilities </w:t>
            </w:r>
            <w:r w:rsidR="006D5D7B" w:rsidRPr="006D04B5">
              <w:rPr>
                <w:rFonts w:cstheme="minorHAnsi"/>
                <w:szCs w:val="24"/>
              </w:rPr>
              <w:t xml:space="preserve">have </w:t>
            </w:r>
            <w:r w:rsidR="006D04B5" w:rsidRPr="006D04B5">
              <w:rPr>
                <w:rFonts w:cstheme="minorHAnsi"/>
                <w:szCs w:val="24"/>
              </w:rPr>
              <w:t>reduced</w:t>
            </w:r>
            <w:r w:rsidR="006D5D7B" w:rsidRPr="006D04B5">
              <w:rPr>
                <w:rFonts w:cstheme="minorHAnsi"/>
                <w:szCs w:val="24"/>
              </w:rPr>
              <w:t xml:space="preserve"> by £0.</w:t>
            </w:r>
            <w:r w:rsidR="006D04B5" w:rsidRPr="006D04B5">
              <w:rPr>
                <w:rFonts w:cstheme="minorHAnsi"/>
                <w:szCs w:val="24"/>
              </w:rPr>
              <w:t>3</w:t>
            </w:r>
            <w:r w:rsidR="006D5D7B" w:rsidRPr="006D04B5">
              <w:rPr>
                <w:rFonts w:cstheme="minorHAnsi"/>
                <w:szCs w:val="24"/>
              </w:rPr>
              <w:t>m to £</w:t>
            </w:r>
            <w:r w:rsidR="006D04B5" w:rsidRPr="006D04B5">
              <w:rPr>
                <w:rFonts w:cstheme="minorHAnsi"/>
                <w:szCs w:val="24"/>
              </w:rPr>
              <w:t>2.</w:t>
            </w:r>
            <w:r w:rsidR="006D04B5" w:rsidRPr="00211310">
              <w:rPr>
                <w:rFonts w:cstheme="minorHAnsi"/>
                <w:szCs w:val="24"/>
              </w:rPr>
              <w:t>7</w:t>
            </w:r>
            <w:r w:rsidRPr="00211310">
              <w:rPr>
                <w:rFonts w:cstheme="minorHAnsi"/>
                <w:szCs w:val="24"/>
              </w:rPr>
              <w:t>m</w:t>
            </w:r>
            <w:r w:rsidR="00A00A4F">
              <w:rPr>
                <w:rFonts w:cstheme="minorHAnsi"/>
                <w:szCs w:val="24"/>
              </w:rPr>
              <w:t>.</w:t>
            </w:r>
          </w:p>
          <w:p w14:paraId="07D773B9" w14:textId="170A021C" w:rsidR="00A00A4F" w:rsidRPr="006D04B5" w:rsidRDefault="00A00A4F" w:rsidP="00A00A4F">
            <w:pPr>
              <w:tabs>
                <w:tab w:val="num" w:pos="1080"/>
              </w:tabs>
              <w:spacing w:after="0"/>
              <w:ind w:left="25"/>
              <w:rPr>
                <w:rFonts w:cstheme="minorHAnsi"/>
                <w:szCs w:val="24"/>
              </w:rPr>
            </w:pPr>
          </w:p>
        </w:tc>
      </w:tr>
      <w:tr w:rsidR="0078251D" w:rsidRPr="00261B91" w14:paraId="57FA9DFD" w14:textId="77777777" w:rsidTr="00DD772E">
        <w:trPr>
          <w:trHeight w:val="819"/>
        </w:trPr>
        <w:tc>
          <w:tcPr>
            <w:tcW w:w="1701" w:type="dxa"/>
            <w:tcBorders>
              <w:top w:val="single" w:sz="4" w:space="0" w:color="auto"/>
              <w:left w:val="nil"/>
              <w:bottom w:val="single" w:sz="4" w:space="0" w:color="auto"/>
              <w:right w:val="nil"/>
            </w:tcBorders>
          </w:tcPr>
          <w:p w14:paraId="7CE33E45" w14:textId="77777777" w:rsidR="0078251D" w:rsidRPr="0048331D" w:rsidRDefault="0078251D" w:rsidP="0078251D">
            <w:pPr>
              <w:tabs>
                <w:tab w:val="num" w:pos="284"/>
              </w:tabs>
              <w:spacing w:after="0"/>
              <w:ind w:left="-110"/>
              <w:jc w:val="right"/>
              <w:rPr>
                <w:rFonts w:cstheme="minorHAnsi"/>
                <w:b/>
                <w:szCs w:val="24"/>
              </w:rPr>
            </w:pPr>
            <w:r w:rsidRPr="0048331D">
              <w:rPr>
                <w:rFonts w:cstheme="minorHAnsi"/>
                <w:b/>
                <w:szCs w:val="24"/>
              </w:rPr>
              <w:t>Taxpayers Equity</w:t>
            </w:r>
          </w:p>
        </w:tc>
        <w:tc>
          <w:tcPr>
            <w:tcW w:w="1276" w:type="dxa"/>
            <w:tcBorders>
              <w:top w:val="single" w:sz="4" w:space="0" w:color="auto"/>
              <w:left w:val="nil"/>
              <w:bottom w:val="single" w:sz="4" w:space="0" w:color="auto"/>
              <w:right w:val="nil"/>
            </w:tcBorders>
          </w:tcPr>
          <w:p w14:paraId="34D8DC85" w14:textId="5A0E079B" w:rsidR="0078251D" w:rsidRPr="0048331D" w:rsidRDefault="0078251D" w:rsidP="0078251D">
            <w:pPr>
              <w:tabs>
                <w:tab w:val="num" w:pos="1080"/>
              </w:tabs>
              <w:spacing w:after="0"/>
              <w:jc w:val="right"/>
              <w:rPr>
                <w:rFonts w:cstheme="minorHAnsi"/>
                <w:szCs w:val="24"/>
              </w:rPr>
            </w:pPr>
            <w:r w:rsidRPr="0048331D">
              <w:rPr>
                <w:rFonts w:cstheme="minorHAnsi"/>
                <w:szCs w:val="24"/>
              </w:rPr>
              <w:t>£</w:t>
            </w:r>
            <w:r w:rsidR="006D04B5" w:rsidRPr="0048331D">
              <w:rPr>
                <w:rFonts w:cstheme="minorHAnsi"/>
                <w:szCs w:val="24"/>
              </w:rPr>
              <w:t>120.0</w:t>
            </w:r>
            <w:r w:rsidR="00E162A4" w:rsidRPr="0048331D">
              <w:rPr>
                <w:rFonts w:cstheme="minorHAnsi"/>
                <w:szCs w:val="24"/>
              </w:rPr>
              <w:t>m</w:t>
            </w:r>
          </w:p>
          <w:p w14:paraId="7E90B31A" w14:textId="77777777" w:rsidR="0078251D" w:rsidRPr="0048331D" w:rsidRDefault="0078251D" w:rsidP="0078251D">
            <w:pPr>
              <w:tabs>
                <w:tab w:val="num" w:pos="1080"/>
              </w:tabs>
              <w:spacing w:after="0"/>
              <w:jc w:val="right"/>
              <w:rPr>
                <w:rFonts w:cstheme="minorHAnsi"/>
                <w:szCs w:val="24"/>
              </w:rPr>
            </w:pPr>
          </w:p>
        </w:tc>
        <w:tc>
          <w:tcPr>
            <w:tcW w:w="6945" w:type="dxa"/>
            <w:tcBorders>
              <w:top w:val="single" w:sz="4" w:space="0" w:color="auto"/>
              <w:left w:val="nil"/>
              <w:bottom w:val="single" w:sz="4" w:space="0" w:color="auto"/>
              <w:right w:val="nil"/>
            </w:tcBorders>
          </w:tcPr>
          <w:p w14:paraId="1033F604" w14:textId="5E1E8940" w:rsidR="0078251D" w:rsidRPr="0048331D" w:rsidRDefault="00340879" w:rsidP="0078251D">
            <w:pPr>
              <w:tabs>
                <w:tab w:val="num" w:pos="1080"/>
              </w:tabs>
              <w:spacing w:after="0"/>
              <w:ind w:left="25"/>
              <w:rPr>
                <w:rFonts w:cstheme="minorHAnsi"/>
                <w:szCs w:val="24"/>
              </w:rPr>
            </w:pPr>
            <w:r w:rsidRPr="0048331D">
              <w:rPr>
                <w:rFonts w:cstheme="minorHAnsi"/>
                <w:szCs w:val="24"/>
              </w:rPr>
              <w:t>Public Dividend C</w:t>
            </w:r>
            <w:r w:rsidR="006D5D7B" w:rsidRPr="0048331D">
              <w:rPr>
                <w:rFonts w:cstheme="minorHAnsi"/>
                <w:szCs w:val="24"/>
              </w:rPr>
              <w:t>apital: increased by £</w:t>
            </w:r>
            <w:r w:rsidR="006D04B5" w:rsidRPr="0048331D">
              <w:rPr>
                <w:rFonts w:cstheme="minorHAnsi"/>
                <w:szCs w:val="24"/>
              </w:rPr>
              <w:t>0.6</w:t>
            </w:r>
            <w:r w:rsidR="006D5D7B" w:rsidRPr="0048331D">
              <w:rPr>
                <w:rFonts w:cstheme="minorHAnsi"/>
                <w:szCs w:val="24"/>
              </w:rPr>
              <w:t>m to £</w:t>
            </w:r>
            <w:r w:rsidR="006D04B5" w:rsidRPr="0048331D">
              <w:rPr>
                <w:rFonts w:cstheme="minorHAnsi"/>
                <w:szCs w:val="24"/>
              </w:rPr>
              <w:t>30.3</w:t>
            </w:r>
            <w:r w:rsidR="0078251D" w:rsidRPr="0048331D">
              <w:rPr>
                <w:rFonts w:cstheme="minorHAnsi"/>
                <w:szCs w:val="24"/>
              </w:rPr>
              <w:t>m</w:t>
            </w:r>
            <w:r w:rsidR="006D5D7B" w:rsidRPr="0048331D">
              <w:rPr>
                <w:rFonts w:cstheme="minorHAnsi"/>
                <w:szCs w:val="24"/>
              </w:rPr>
              <w:t xml:space="preserve"> due to </w:t>
            </w:r>
            <w:r w:rsidR="00EA2F0F" w:rsidRPr="0048331D">
              <w:rPr>
                <w:rFonts w:cstheme="minorHAnsi"/>
                <w:szCs w:val="24"/>
              </w:rPr>
              <w:t xml:space="preserve">additional PDC funding in relation to </w:t>
            </w:r>
            <w:r w:rsidR="006D04B5" w:rsidRPr="0048331D">
              <w:rPr>
                <w:rFonts w:cstheme="minorHAnsi"/>
                <w:szCs w:val="24"/>
              </w:rPr>
              <w:t>capital</w:t>
            </w:r>
            <w:r w:rsidR="00EA2F0F" w:rsidRPr="0048331D">
              <w:rPr>
                <w:rFonts w:cstheme="minorHAnsi"/>
                <w:szCs w:val="24"/>
              </w:rPr>
              <w:t>.</w:t>
            </w:r>
          </w:p>
          <w:p w14:paraId="3471BDD0" w14:textId="2472A4F3" w:rsidR="0078251D" w:rsidRPr="0048331D" w:rsidRDefault="0078251D" w:rsidP="0078251D">
            <w:pPr>
              <w:tabs>
                <w:tab w:val="num" w:pos="1080"/>
              </w:tabs>
              <w:spacing w:after="0"/>
              <w:ind w:left="25"/>
              <w:rPr>
                <w:rFonts w:cstheme="minorHAnsi"/>
                <w:szCs w:val="24"/>
              </w:rPr>
            </w:pPr>
            <w:r w:rsidRPr="0048331D">
              <w:rPr>
                <w:rFonts w:cstheme="minorHAnsi"/>
                <w:szCs w:val="24"/>
              </w:rPr>
              <w:t>Revalu</w:t>
            </w:r>
            <w:r w:rsidR="00340879" w:rsidRPr="0048331D">
              <w:rPr>
                <w:rFonts w:cstheme="minorHAnsi"/>
                <w:szCs w:val="24"/>
              </w:rPr>
              <w:t>ation R</w:t>
            </w:r>
            <w:r w:rsidR="00E162A4" w:rsidRPr="0048331D">
              <w:rPr>
                <w:rFonts w:cstheme="minorHAnsi"/>
                <w:szCs w:val="24"/>
              </w:rPr>
              <w:t xml:space="preserve">eserve: </w:t>
            </w:r>
            <w:r w:rsidR="006D04B5" w:rsidRPr="0048331D">
              <w:rPr>
                <w:rFonts w:cstheme="minorHAnsi"/>
                <w:szCs w:val="24"/>
              </w:rPr>
              <w:t>increased</w:t>
            </w:r>
            <w:r w:rsidR="006D5D7B" w:rsidRPr="0048331D">
              <w:rPr>
                <w:rFonts w:cstheme="minorHAnsi"/>
                <w:szCs w:val="24"/>
              </w:rPr>
              <w:t xml:space="preserve"> by £</w:t>
            </w:r>
            <w:r w:rsidR="006D04B5" w:rsidRPr="0048331D">
              <w:rPr>
                <w:rFonts w:cstheme="minorHAnsi"/>
                <w:szCs w:val="24"/>
              </w:rPr>
              <w:t>3.2</w:t>
            </w:r>
            <w:r w:rsidR="006D5D7B" w:rsidRPr="0048331D">
              <w:rPr>
                <w:rFonts w:cstheme="minorHAnsi"/>
                <w:szCs w:val="24"/>
              </w:rPr>
              <w:t>m to £</w:t>
            </w:r>
            <w:r w:rsidR="0048331D" w:rsidRPr="0048331D">
              <w:rPr>
                <w:rFonts w:cstheme="minorHAnsi"/>
                <w:szCs w:val="24"/>
              </w:rPr>
              <w:t>11.0</w:t>
            </w:r>
            <w:r w:rsidR="006D5D7B" w:rsidRPr="0048331D">
              <w:rPr>
                <w:rFonts w:cstheme="minorHAnsi"/>
                <w:szCs w:val="24"/>
              </w:rPr>
              <w:t xml:space="preserve">m reflecting revaluation </w:t>
            </w:r>
            <w:r w:rsidR="0048331D" w:rsidRPr="0048331D">
              <w:rPr>
                <w:rFonts w:cstheme="minorHAnsi"/>
                <w:szCs w:val="24"/>
              </w:rPr>
              <w:t xml:space="preserve">gains </w:t>
            </w:r>
            <w:r w:rsidR="00EA2F0F" w:rsidRPr="0048331D">
              <w:rPr>
                <w:rFonts w:cstheme="minorHAnsi"/>
                <w:szCs w:val="24"/>
              </w:rPr>
              <w:t>in year</w:t>
            </w:r>
            <w:r w:rsidRPr="0048331D">
              <w:rPr>
                <w:rFonts w:cstheme="minorHAnsi"/>
                <w:szCs w:val="24"/>
              </w:rPr>
              <w:t>.</w:t>
            </w:r>
          </w:p>
          <w:p w14:paraId="0A8B9D8C" w14:textId="5D2EBDC7" w:rsidR="0078251D" w:rsidRPr="0048331D" w:rsidRDefault="00431FCD" w:rsidP="00E162A4">
            <w:pPr>
              <w:tabs>
                <w:tab w:val="num" w:pos="1080"/>
              </w:tabs>
              <w:spacing w:after="0"/>
              <w:rPr>
                <w:rFonts w:cstheme="minorHAnsi"/>
                <w:szCs w:val="24"/>
              </w:rPr>
            </w:pPr>
            <w:r w:rsidRPr="0048331D">
              <w:rPr>
                <w:rFonts w:cstheme="minorHAnsi"/>
                <w:szCs w:val="24"/>
              </w:rPr>
              <w:t>Other R</w:t>
            </w:r>
            <w:r w:rsidR="006D5D7B" w:rsidRPr="0048331D">
              <w:rPr>
                <w:rFonts w:cstheme="minorHAnsi"/>
                <w:szCs w:val="24"/>
              </w:rPr>
              <w:t>eserve</w:t>
            </w:r>
            <w:r w:rsidR="0074750B">
              <w:rPr>
                <w:rFonts w:cstheme="minorHAnsi"/>
                <w:szCs w:val="24"/>
              </w:rPr>
              <w:t>s</w:t>
            </w:r>
            <w:r w:rsidR="006D5D7B" w:rsidRPr="0048331D">
              <w:rPr>
                <w:rFonts w:cstheme="minorHAnsi"/>
                <w:szCs w:val="24"/>
              </w:rPr>
              <w:t xml:space="preserve">: </w:t>
            </w:r>
            <w:r w:rsidR="0048331D" w:rsidRPr="0048331D">
              <w:rPr>
                <w:rFonts w:cstheme="minorHAnsi"/>
                <w:szCs w:val="24"/>
              </w:rPr>
              <w:t>in</w:t>
            </w:r>
            <w:r w:rsidR="006D5D7B" w:rsidRPr="0048331D">
              <w:rPr>
                <w:rFonts w:cstheme="minorHAnsi"/>
                <w:szCs w:val="24"/>
              </w:rPr>
              <w:t>creased by £0.</w:t>
            </w:r>
            <w:r w:rsidR="0048331D" w:rsidRPr="0048331D">
              <w:rPr>
                <w:rFonts w:cstheme="minorHAnsi"/>
                <w:szCs w:val="24"/>
              </w:rPr>
              <w:t>2</w:t>
            </w:r>
            <w:r w:rsidR="00E162A4" w:rsidRPr="0048331D">
              <w:rPr>
                <w:rFonts w:cstheme="minorHAnsi"/>
                <w:szCs w:val="24"/>
              </w:rPr>
              <w:t>m to £</w:t>
            </w:r>
            <w:r w:rsidR="006D5D7B" w:rsidRPr="0048331D">
              <w:rPr>
                <w:rFonts w:cstheme="minorHAnsi"/>
                <w:szCs w:val="24"/>
              </w:rPr>
              <w:t>0</w:t>
            </w:r>
            <w:r w:rsidR="00E162A4" w:rsidRPr="0048331D">
              <w:rPr>
                <w:rFonts w:cstheme="minorHAnsi"/>
                <w:szCs w:val="24"/>
              </w:rPr>
              <w:t>.</w:t>
            </w:r>
            <w:r w:rsidR="0048331D" w:rsidRPr="0048331D">
              <w:rPr>
                <w:rFonts w:cstheme="minorHAnsi"/>
                <w:szCs w:val="24"/>
              </w:rPr>
              <w:t>9</w:t>
            </w:r>
            <w:r w:rsidR="0078251D" w:rsidRPr="0048331D">
              <w:rPr>
                <w:rFonts w:cstheme="minorHAnsi"/>
                <w:szCs w:val="24"/>
              </w:rPr>
              <w:t>m reflecting changes in exchange rate on translation of MEH UAE from AED to GBP.</w:t>
            </w:r>
          </w:p>
          <w:p w14:paraId="2927B431" w14:textId="7DA23807" w:rsidR="0078251D" w:rsidRPr="0048331D" w:rsidRDefault="00E162A4" w:rsidP="00E162A4">
            <w:pPr>
              <w:tabs>
                <w:tab w:val="num" w:pos="1080"/>
              </w:tabs>
              <w:spacing w:after="0"/>
              <w:ind w:left="25"/>
              <w:rPr>
                <w:rFonts w:cstheme="minorHAnsi"/>
                <w:szCs w:val="24"/>
              </w:rPr>
            </w:pPr>
            <w:r w:rsidRPr="0048331D">
              <w:rPr>
                <w:rFonts w:cstheme="minorHAnsi"/>
                <w:szCs w:val="24"/>
              </w:rPr>
              <w:t>I</w:t>
            </w:r>
            <w:r w:rsidR="0078251D" w:rsidRPr="0048331D">
              <w:rPr>
                <w:rFonts w:cstheme="minorHAnsi"/>
                <w:szCs w:val="24"/>
              </w:rPr>
              <w:t>n</w:t>
            </w:r>
            <w:r w:rsidR="00431FCD" w:rsidRPr="0048331D">
              <w:rPr>
                <w:rFonts w:cstheme="minorHAnsi"/>
                <w:szCs w:val="24"/>
              </w:rPr>
              <w:t>come and Expenditure R</w:t>
            </w:r>
            <w:r w:rsidR="006D5D7B" w:rsidRPr="0048331D">
              <w:rPr>
                <w:rFonts w:cstheme="minorHAnsi"/>
                <w:szCs w:val="24"/>
              </w:rPr>
              <w:t>eserve: in</w:t>
            </w:r>
            <w:r w:rsidR="0078251D" w:rsidRPr="0048331D">
              <w:rPr>
                <w:rFonts w:cstheme="minorHAnsi"/>
                <w:szCs w:val="24"/>
              </w:rPr>
              <w:t>creased to £</w:t>
            </w:r>
            <w:r w:rsidR="0048331D" w:rsidRPr="0048331D">
              <w:rPr>
                <w:rFonts w:cstheme="minorHAnsi"/>
                <w:szCs w:val="24"/>
              </w:rPr>
              <w:t>77.8</w:t>
            </w:r>
            <w:r w:rsidR="0078251D" w:rsidRPr="0048331D">
              <w:rPr>
                <w:rFonts w:cstheme="minorHAnsi"/>
                <w:szCs w:val="24"/>
              </w:rPr>
              <w:t xml:space="preserve">m, reflecting the flow through of </w:t>
            </w:r>
            <w:r w:rsidR="006D5D7B" w:rsidRPr="0048331D">
              <w:rPr>
                <w:rFonts w:cstheme="minorHAnsi"/>
                <w:szCs w:val="24"/>
              </w:rPr>
              <w:t>surplus</w:t>
            </w:r>
            <w:r w:rsidR="0078251D" w:rsidRPr="0048331D">
              <w:rPr>
                <w:rFonts w:cstheme="minorHAnsi"/>
                <w:szCs w:val="24"/>
              </w:rPr>
              <w:t xml:space="preserve"> for the year.</w:t>
            </w:r>
          </w:p>
          <w:p w14:paraId="73387558" w14:textId="77777777" w:rsidR="009A3D86" w:rsidRPr="0048331D" w:rsidRDefault="009A3D86" w:rsidP="00E162A4">
            <w:pPr>
              <w:tabs>
                <w:tab w:val="num" w:pos="1080"/>
              </w:tabs>
              <w:spacing w:after="0"/>
              <w:ind w:left="25"/>
              <w:rPr>
                <w:rFonts w:cstheme="minorHAnsi"/>
                <w:szCs w:val="24"/>
              </w:rPr>
            </w:pPr>
          </w:p>
        </w:tc>
      </w:tr>
    </w:tbl>
    <w:p w14:paraId="448BD7D7" w14:textId="77777777" w:rsidR="00CE087C" w:rsidRDefault="00CE087C" w:rsidP="009051B4">
      <w:pPr>
        <w:pStyle w:val="Heading1"/>
        <w:numPr>
          <w:ilvl w:val="0"/>
          <w:numId w:val="0"/>
        </w:numPr>
        <w:ind w:left="284"/>
      </w:pPr>
    </w:p>
    <w:p w14:paraId="43E42048" w14:textId="77777777" w:rsidR="006D5D7B" w:rsidRPr="002E09A5" w:rsidRDefault="001473C2" w:rsidP="006D5D7B">
      <w:pPr>
        <w:rPr>
          <w:rFonts w:ascii="Calibri" w:hAnsi="Calibri" w:cs="Calibri"/>
          <w:b/>
          <w:sz w:val="28"/>
          <w:szCs w:val="28"/>
        </w:rPr>
      </w:pPr>
      <w:r>
        <w:br w:type="page"/>
      </w:r>
      <w:r w:rsidR="006D5D7B" w:rsidRPr="002E09A5">
        <w:rPr>
          <w:rFonts w:ascii="Calibri" w:hAnsi="Calibri" w:cs="Calibri"/>
          <w:b/>
          <w:sz w:val="28"/>
          <w:szCs w:val="28"/>
        </w:rPr>
        <w:lastRenderedPageBreak/>
        <w:t>Assessment of Going Concern</w:t>
      </w:r>
      <w:r w:rsidR="006D5D7B" w:rsidRPr="002E09A5">
        <w:rPr>
          <w:rFonts w:ascii="Calibri" w:hAnsi="Calibri" w:cs="Calibri"/>
          <w:b/>
          <w:sz w:val="28"/>
          <w:szCs w:val="28"/>
        </w:rPr>
        <w:tab/>
      </w:r>
      <w:r w:rsidR="006D5D7B" w:rsidRPr="002E09A5">
        <w:rPr>
          <w:rFonts w:ascii="Calibri" w:hAnsi="Calibri" w:cs="Calibri"/>
          <w:b/>
          <w:sz w:val="28"/>
          <w:szCs w:val="28"/>
        </w:rPr>
        <w:tab/>
      </w:r>
      <w:r w:rsidR="006D5D7B" w:rsidRPr="002E09A5">
        <w:rPr>
          <w:rFonts w:ascii="Calibri" w:hAnsi="Calibri" w:cs="Calibri"/>
          <w:b/>
          <w:sz w:val="28"/>
          <w:szCs w:val="28"/>
        </w:rPr>
        <w:tab/>
      </w:r>
      <w:r w:rsidR="006D5D7B" w:rsidRPr="002E09A5">
        <w:rPr>
          <w:rFonts w:ascii="Calibri" w:hAnsi="Calibri" w:cs="Calibri"/>
          <w:b/>
          <w:sz w:val="28"/>
          <w:szCs w:val="28"/>
        </w:rPr>
        <w:tab/>
      </w:r>
    </w:p>
    <w:p w14:paraId="21B74772" w14:textId="77777777" w:rsidR="006D5D7B" w:rsidRDefault="006D5D7B" w:rsidP="006D5D7B">
      <w:pPr>
        <w:ind w:left="720" w:firstLine="720"/>
        <w:jc w:val="center"/>
        <w:rPr>
          <w:rFonts w:ascii="Calibri" w:hAnsi="Calibri" w:cs="Calibri"/>
          <w:b/>
          <w:sz w:val="28"/>
          <w:u w:val="single"/>
          <w:lang w:val="en-US" w:eastAsia="en-GB"/>
        </w:rPr>
      </w:pPr>
    </w:p>
    <w:p w14:paraId="0F3C995D" w14:textId="77777777" w:rsidR="006D5D7B" w:rsidRDefault="006D5D7B" w:rsidP="006D5D7B">
      <w:pPr>
        <w:numPr>
          <w:ilvl w:val="0"/>
          <w:numId w:val="40"/>
        </w:numPr>
        <w:tabs>
          <w:tab w:val="num" w:pos="540"/>
        </w:tabs>
        <w:spacing w:before="0" w:after="200" w:line="276" w:lineRule="auto"/>
        <w:jc w:val="left"/>
        <w:rPr>
          <w:rFonts w:ascii="Calibri" w:hAnsi="Calibri" w:cs="Calibri"/>
          <w:b/>
          <w:szCs w:val="24"/>
        </w:rPr>
      </w:pPr>
      <w:r w:rsidRPr="00820AB9">
        <w:rPr>
          <w:rFonts w:ascii="Calibri" w:hAnsi="Calibri" w:cs="Calibri"/>
          <w:b/>
          <w:szCs w:val="24"/>
        </w:rPr>
        <w:t>Introduction</w:t>
      </w:r>
    </w:p>
    <w:p w14:paraId="22D43A10" w14:textId="77777777" w:rsidR="006D5D7B" w:rsidRDefault="006D5D7B" w:rsidP="006D5D7B">
      <w:pPr>
        <w:autoSpaceDE w:val="0"/>
        <w:autoSpaceDN w:val="0"/>
        <w:adjustRightInd w:val="0"/>
        <w:rPr>
          <w:rFonts w:ascii="Calibri" w:eastAsia="Calibri" w:hAnsi="Calibri" w:cs="Calibri"/>
          <w:color w:val="000000"/>
          <w:szCs w:val="24"/>
          <w:lang w:eastAsia="en-GB"/>
        </w:rPr>
      </w:pPr>
      <w:r w:rsidRPr="00820AB9">
        <w:rPr>
          <w:rFonts w:ascii="Calibri" w:eastAsia="Calibri" w:hAnsi="Calibri" w:cs="Calibri"/>
          <w:color w:val="000000"/>
          <w:szCs w:val="24"/>
          <w:lang w:eastAsia="en-GB"/>
        </w:rPr>
        <w:t>International Financial Reporting Standards (IFRS) require the Trust’s Directors to assess and satisfy themselves that it is appropriate to prepare financial statements on a going concern basis.</w:t>
      </w:r>
      <w:r>
        <w:rPr>
          <w:rFonts w:ascii="Calibri" w:eastAsia="Calibri" w:hAnsi="Calibri" w:cs="Calibri"/>
          <w:color w:val="000000"/>
          <w:szCs w:val="24"/>
          <w:lang w:eastAsia="en-GB"/>
        </w:rPr>
        <w:t xml:space="preserve"> </w:t>
      </w:r>
    </w:p>
    <w:p w14:paraId="42C430E8" w14:textId="77777777" w:rsidR="006D5D7B" w:rsidRDefault="006D5D7B" w:rsidP="006D5D7B">
      <w:pPr>
        <w:autoSpaceDE w:val="0"/>
        <w:autoSpaceDN w:val="0"/>
        <w:adjustRightInd w:val="0"/>
        <w:rPr>
          <w:rFonts w:ascii="Calibri" w:eastAsia="Calibri" w:hAnsi="Calibri" w:cs="Calibri"/>
          <w:color w:val="000000"/>
          <w:szCs w:val="24"/>
          <w:lang w:eastAsia="en-GB"/>
        </w:rPr>
      </w:pPr>
      <w:r w:rsidRPr="008C36E7">
        <w:rPr>
          <w:rFonts w:ascii="Calibri" w:eastAsia="Calibri" w:hAnsi="Calibri" w:cs="Calibri"/>
          <w:color w:val="000000"/>
          <w:szCs w:val="24"/>
          <w:lang w:eastAsia="en-GB"/>
        </w:rPr>
        <w:t xml:space="preserve">Where management are aware of material uncertainties in respect of events or conditions that cast significant doubt upon the going concern ability of </w:t>
      </w:r>
      <w:r>
        <w:rPr>
          <w:rFonts w:ascii="Calibri" w:eastAsia="Calibri" w:hAnsi="Calibri" w:cs="Calibri"/>
          <w:color w:val="000000"/>
          <w:szCs w:val="24"/>
          <w:lang w:eastAsia="en-GB"/>
        </w:rPr>
        <w:t>the t</w:t>
      </w:r>
      <w:r w:rsidRPr="008C36E7">
        <w:rPr>
          <w:rFonts w:ascii="Calibri" w:eastAsia="Calibri" w:hAnsi="Calibri" w:cs="Calibri"/>
          <w:color w:val="000000"/>
          <w:szCs w:val="24"/>
          <w:lang w:eastAsia="en-GB"/>
        </w:rPr>
        <w:t>rust, these should be disclosed.</w:t>
      </w:r>
    </w:p>
    <w:p w14:paraId="7B951DDA" w14:textId="77777777" w:rsidR="006D5D7B" w:rsidRPr="00820AB9" w:rsidRDefault="006D5D7B" w:rsidP="006D5D7B">
      <w:pPr>
        <w:autoSpaceDE w:val="0"/>
        <w:autoSpaceDN w:val="0"/>
        <w:adjustRightInd w:val="0"/>
        <w:rPr>
          <w:rFonts w:ascii="Calibri" w:eastAsia="Calibri" w:hAnsi="Calibri" w:cs="Calibri"/>
          <w:color w:val="000000"/>
          <w:szCs w:val="24"/>
          <w:lang w:eastAsia="en-GB"/>
        </w:rPr>
      </w:pPr>
      <w:r w:rsidRPr="00820AB9">
        <w:rPr>
          <w:rFonts w:ascii="Calibri" w:eastAsia="Calibri" w:hAnsi="Calibri" w:cs="Calibri"/>
          <w:color w:val="000000"/>
          <w:szCs w:val="24"/>
          <w:lang w:eastAsia="en-GB"/>
        </w:rPr>
        <w:t>The Department of Health Group Accounting Manual provides the following interpretation of the going concern requirements set out in IAS1:</w:t>
      </w:r>
    </w:p>
    <w:p w14:paraId="22A731C7" w14:textId="77777777" w:rsidR="006D5D7B" w:rsidRPr="00EA2F0F" w:rsidRDefault="006D5D7B" w:rsidP="006D5D7B">
      <w:pPr>
        <w:autoSpaceDE w:val="0"/>
        <w:autoSpaceDN w:val="0"/>
        <w:adjustRightInd w:val="0"/>
        <w:rPr>
          <w:rFonts w:ascii="Calibri" w:eastAsia="Calibri" w:hAnsi="Calibri" w:cs="Calibri"/>
          <w:i/>
          <w:color w:val="000000"/>
          <w:szCs w:val="24"/>
          <w:lang w:eastAsia="en-GB"/>
        </w:rPr>
      </w:pPr>
      <w:r w:rsidRPr="00820AB9">
        <w:rPr>
          <w:rFonts w:ascii="Calibri" w:eastAsia="Calibri" w:hAnsi="Calibri" w:cs="Calibri"/>
          <w:i/>
          <w:color w:val="000000"/>
          <w:szCs w:val="24"/>
          <w:lang w:eastAsia="en-GB"/>
        </w:rPr>
        <w:t>“The anticipated continuation of the provision of a service in the future, as evidenced by inclusion of financial provision for that service in published documents is normally sufficient evidence of going concern”.</w:t>
      </w:r>
    </w:p>
    <w:p w14:paraId="032D6342" w14:textId="77777777" w:rsidR="006D5D7B" w:rsidRDefault="006D5D7B" w:rsidP="006D5D7B">
      <w:pPr>
        <w:autoSpaceDE w:val="0"/>
        <w:autoSpaceDN w:val="0"/>
        <w:adjustRightInd w:val="0"/>
        <w:rPr>
          <w:rFonts w:ascii="Calibri" w:eastAsia="Calibri" w:hAnsi="Calibri" w:cs="Calibri"/>
          <w:color w:val="000000"/>
          <w:szCs w:val="24"/>
          <w:lang w:eastAsia="en-GB"/>
        </w:rPr>
      </w:pPr>
      <w:r w:rsidRPr="00820AB9">
        <w:rPr>
          <w:rFonts w:ascii="Calibri" w:eastAsia="Calibri" w:hAnsi="Calibri" w:cs="Calibri"/>
          <w:color w:val="000000"/>
          <w:szCs w:val="24"/>
          <w:lang w:eastAsia="en-GB"/>
        </w:rPr>
        <w:t xml:space="preserve">The Foundation Trust Annual Reporting Manual </w:t>
      </w:r>
      <w:r>
        <w:rPr>
          <w:rFonts w:ascii="Calibri" w:eastAsia="Calibri" w:hAnsi="Calibri" w:cs="Calibri"/>
          <w:color w:val="000000"/>
          <w:szCs w:val="24"/>
          <w:lang w:eastAsia="en-GB"/>
        </w:rPr>
        <w:t xml:space="preserve">(FTARM) </w:t>
      </w:r>
      <w:r w:rsidRPr="00820AB9">
        <w:rPr>
          <w:rFonts w:ascii="Calibri" w:eastAsia="Calibri" w:hAnsi="Calibri" w:cs="Calibri"/>
          <w:color w:val="000000"/>
          <w:szCs w:val="24"/>
          <w:lang w:eastAsia="en-GB"/>
        </w:rPr>
        <w:t>further states that there is no presumption of going concern status for NHS foundation trusts.  Directors must decide each year whether or not it is appropriate for the NHS foundation trust to prepare its accounts on the going concern basis</w:t>
      </w:r>
      <w:r>
        <w:rPr>
          <w:rFonts w:ascii="Calibri" w:eastAsia="Calibri" w:hAnsi="Calibri" w:cs="Calibri"/>
          <w:color w:val="000000"/>
          <w:szCs w:val="24"/>
          <w:lang w:eastAsia="en-GB"/>
        </w:rPr>
        <w:t>.</w:t>
      </w:r>
      <w:r w:rsidRPr="00820AB9">
        <w:rPr>
          <w:rFonts w:ascii="Calibri" w:eastAsia="Calibri" w:hAnsi="Calibri" w:cs="Calibri"/>
          <w:color w:val="000000"/>
          <w:szCs w:val="24"/>
          <w:lang w:eastAsia="en-GB"/>
        </w:rPr>
        <w:t xml:space="preserve"> </w:t>
      </w:r>
    </w:p>
    <w:p w14:paraId="7F4584C8" w14:textId="5E04E496" w:rsidR="006D5D7B" w:rsidRPr="00C737D1" w:rsidRDefault="00614924" w:rsidP="006D5D7B">
      <w:pPr>
        <w:autoSpaceDE w:val="0"/>
        <w:autoSpaceDN w:val="0"/>
        <w:adjustRightInd w:val="0"/>
        <w:rPr>
          <w:rFonts w:ascii="Calibri" w:eastAsia="Calibri" w:hAnsi="Calibri" w:cs="Calibri"/>
          <w:color w:val="000000"/>
          <w:szCs w:val="24"/>
          <w:lang w:eastAsia="en-GB"/>
        </w:rPr>
      </w:pPr>
      <w:r>
        <w:rPr>
          <w:rFonts w:ascii="Calibri" w:eastAsia="Calibri" w:hAnsi="Calibri" w:cs="Calibri"/>
          <w:color w:val="000000"/>
          <w:szCs w:val="24"/>
          <w:lang w:eastAsia="en-GB"/>
        </w:rPr>
        <w:t xml:space="preserve">Guidance was </w:t>
      </w:r>
      <w:r w:rsidR="006D5D7B">
        <w:rPr>
          <w:rFonts w:ascii="Calibri" w:eastAsia="Calibri" w:hAnsi="Calibri" w:cs="Calibri"/>
          <w:color w:val="000000"/>
          <w:szCs w:val="24"/>
          <w:lang w:eastAsia="en-GB"/>
        </w:rPr>
        <w:t xml:space="preserve">issued </w:t>
      </w:r>
      <w:r>
        <w:rPr>
          <w:rFonts w:ascii="Calibri" w:eastAsia="Calibri" w:hAnsi="Calibri" w:cs="Calibri"/>
          <w:color w:val="000000"/>
          <w:szCs w:val="24"/>
          <w:lang w:eastAsia="en-GB"/>
        </w:rPr>
        <w:t xml:space="preserve">at the end of 2020/21 </w:t>
      </w:r>
      <w:r w:rsidR="006D5D7B">
        <w:rPr>
          <w:rFonts w:ascii="Calibri" w:eastAsia="Calibri" w:hAnsi="Calibri" w:cs="Calibri"/>
          <w:color w:val="000000"/>
          <w:szCs w:val="24"/>
          <w:lang w:eastAsia="en-GB"/>
        </w:rPr>
        <w:t>by NHSE/I attached (</w:t>
      </w:r>
      <w:r w:rsidR="00971B21" w:rsidRPr="00971B21">
        <w:rPr>
          <w:rFonts w:ascii="Calibri" w:eastAsia="Calibri" w:hAnsi="Calibri" w:cs="Calibri"/>
          <w:color w:val="000000"/>
          <w:szCs w:val="24"/>
          <w:lang w:eastAsia="en-GB"/>
        </w:rPr>
        <w:t>Appendix B</w:t>
      </w:r>
      <w:r w:rsidR="006D5D7B" w:rsidRPr="00971B21">
        <w:rPr>
          <w:rFonts w:ascii="Calibri" w:eastAsia="Calibri" w:hAnsi="Calibri" w:cs="Calibri"/>
          <w:color w:val="000000"/>
          <w:szCs w:val="24"/>
          <w:lang w:eastAsia="en-GB"/>
        </w:rPr>
        <w:t>),</w:t>
      </w:r>
      <w:r w:rsidR="006D5D7B">
        <w:rPr>
          <w:rFonts w:ascii="Calibri" w:eastAsia="Calibri" w:hAnsi="Calibri" w:cs="Calibri"/>
          <w:color w:val="000000"/>
          <w:szCs w:val="24"/>
          <w:lang w:eastAsia="en-GB"/>
        </w:rPr>
        <w:t xml:space="preserve"> and updates within the FTARM which sets out </w:t>
      </w:r>
      <w:r w:rsidR="006D5D7B" w:rsidRPr="00C737D1">
        <w:rPr>
          <w:rFonts w:ascii="Calibri" w:eastAsia="Calibri" w:hAnsi="Calibri" w:cs="Calibri"/>
          <w:color w:val="000000"/>
          <w:szCs w:val="24"/>
          <w:lang w:eastAsia="en-GB"/>
        </w:rPr>
        <w:t>how trusts should assess going concern and associated uncertainties for this</w:t>
      </w:r>
      <w:r w:rsidR="006D5D7B">
        <w:rPr>
          <w:rFonts w:ascii="Calibri" w:eastAsia="Calibri" w:hAnsi="Calibri" w:cs="Calibri"/>
          <w:color w:val="000000"/>
          <w:szCs w:val="24"/>
          <w:lang w:eastAsia="en-GB"/>
        </w:rPr>
        <w:t>,</w:t>
      </w:r>
      <w:r w:rsidR="006D5D7B" w:rsidRPr="00C737D1">
        <w:rPr>
          <w:rFonts w:ascii="Calibri" w:eastAsia="Calibri" w:hAnsi="Calibri" w:cs="Calibri"/>
          <w:color w:val="000000"/>
          <w:szCs w:val="24"/>
          <w:lang w:eastAsia="en-GB"/>
        </w:rPr>
        <w:t xml:space="preserve"> and future year ends. This updated approach has been agreed with the audit firms.</w:t>
      </w:r>
    </w:p>
    <w:p w14:paraId="2903FA80" w14:textId="77777777" w:rsidR="006D5D7B" w:rsidRDefault="006D5D7B" w:rsidP="006D5D7B">
      <w:pPr>
        <w:autoSpaceDE w:val="0"/>
        <w:autoSpaceDN w:val="0"/>
        <w:adjustRightInd w:val="0"/>
        <w:rPr>
          <w:rFonts w:ascii="Calibri" w:eastAsia="Calibri" w:hAnsi="Calibri" w:cs="Calibri"/>
          <w:color w:val="000000"/>
          <w:szCs w:val="24"/>
          <w:lang w:eastAsia="en-GB"/>
        </w:rPr>
      </w:pPr>
      <w:r>
        <w:rPr>
          <w:rFonts w:ascii="Calibri" w:eastAsia="Calibri" w:hAnsi="Calibri" w:cs="Calibri"/>
          <w:color w:val="000000"/>
          <w:szCs w:val="24"/>
          <w:lang w:eastAsia="en-GB"/>
        </w:rPr>
        <w:t xml:space="preserve">The FTARM states the following: </w:t>
      </w:r>
    </w:p>
    <w:p w14:paraId="18ADC510" w14:textId="77777777" w:rsidR="006D5D7B" w:rsidRPr="00EA2F0F" w:rsidRDefault="006D5D7B" w:rsidP="006D5D7B">
      <w:pPr>
        <w:autoSpaceDE w:val="0"/>
        <w:autoSpaceDN w:val="0"/>
        <w:adjustRightInd w:val="0"/>
        <w:rPr>
          <w:rFonts w:ascii="Calibri" w:eastAsia="Calibri" w:hAnsi="Calibri" w:cs="Calibri"/>
          <w:i/>
          <w:color w:val="000000"/>
          <w:szCs w:val="24"/>
          <w:lang w:eastAsia="en-GB"/>
        </w:rPr>
      </w:pPr>
      <w:r w:rsidRPr="00C737D1">
        <w:rPr>
          <w:rFonts w:ascii="Calibri" w:eastAsia="Calibri" w:hAnsi="Calibri" w:cs="Calibri"/>
          <w:i/>
          <w:color w:val="000000"/>
          <w:szCs w:val="24"/>
          <w:lang w:eastAsia="en-GB"/>
        </w:rPr>
        <w:t>An NHS foundation trust’s assessment of whether the going concern basis is appropriate for its accounts should therefore only be based on whether it is anticipated that the services it provides will continue to be provided with the same assets in the public sector. This is expected to be the case for NHS foundation trusts unless exceptional circumstances indicate otherwise; these should be discussed with NHS England and NHS Improvement. Where the continued provision of services in the public sector is anticipated to apply, there will not be any material uncertainties over going concern requiring disclosure.</w:t>
      </w:r>
    </w:p>
    <w:p w14:paraId="5D6DB201" w14:textId="3FCFAE4F" w:rsidR="006D5D7B" w:rsidRDefault="006D5D7B" w:rsidP="006D5D7B">
      <w:pPr>
        <w:autoSpaceDE w:val="0"/>
        <w:autoSpaceDN w:val="0"/>
        <w:adjustRightInd w:val="0"/>
        <w:rPr>
          <w:rFonts w:ascii="Calibri" w:eastAsia="Calibri" w:hAnsi="Calibri" w:cs="Calibri"/>
          <w:color w:val="000000"/>
          <w:szCs w:val="24"/>
          <w:lang w:eastAsia="en-GB"/>
        </w:rPr>
      </w:pPr>
      <w:r w:rsidRPr="00C737D1">
        <w:rPr>
          <w:rFonts w:ascii="Calibri" w:eastAsia="Calibri" w:hAnsi="Calibri" w:cs="Calibri"/>
          <w:color w:val="000000"/>
          <w:szCs w:val="24"/>
          <w:lang w:eastAsia="en-GB"/>
        </w:rPr>
        <w:t>This means that, for the 2020/21</w:t>
      </w:r>
      <w:r w:rsidR="00614924">
        <w:rPr>
          <w:rFonts w:ascii="Calibri" w:eastAsia="Calibri" w:hAnsi="Calibri" w:cs="Calibri"/>
          <w:color w:val="000000"/>
          <w:szCs w:val="24"/>
          <w:lang w:eastAsia="en-GB"/>
        </w:rPr>
        <w:t xml:space="preserve">, 2021/22 and </w:t>
      </w:r>
      <w:r w:rsidRPr="00C737D1">
        <w:rPr>
          <w:rFonts w:ascii="Calibri" w:eastAsia="Calibri" w:hAnsi="Calibri" w:cs="Calibri"/>
          <w:color w:val="000000"/>
          <w:szCs w:val="24"/>
          <w:lang w:eastAsia="en-GB"/>
        </w:rPr>
        <w:t>onwards, while management in NHS bodies will still need to document their basis for adopting the going concern basis, this assessment should solely be based on the anticipated future provision of services in the pub</w:t>
      </w:r>
      <w:r>
        <w:rPr>
          <w:rFonts w:ascii="Calibri" w:eastAsia="Calibri" w:hAnsi="Calibri" w:cs="Calibri"/>
          <w:color w:val="000000"/>
          <w:szCs w:val="24"/>
          <w:lang w:eastAsia="en-GB"/>
        </w:rPr>
        <w:t>l</w:t>
      </w:r>
      <w:r w:rsidRPr="00C737D1">
        <w:rPr>
          <w:rFonts w:ascii="Calibri" w:eastAsia="Calibri" w:hAnsi="Calibri" w:cs="Calibri"/>
          <w:color w:val="000000"/>
          <w:szCs w:val="24"/>
          <w:lang w:eastAsia="en-GB"/>
        </w:rPr>
        <w:t>ic sector. This means that it is highly unlikely that NHS organisations would have any material uncertainties over going concern to disclose.</w:t>
      </w:r>
    </w:p>
    <w:p w14:paraId="5452BD3C" w14:textId="77777777" w:rsidR="00297EE7" w:rsidRPr="00EA2F0F" w:rsidRDefault="00297EE7" w:rsidP="00297EE7">
      <w:pPr>
        <w:autoSpaceDE w:val="0"/>
        <w:autoSpaceDN w:val="0"/>
        <w:adjustRightInd w:val="0"/>
        <w:rPr>
          <w:rFonts w:ascii="Calibri" w:eastAsia="Calibri" w:hAnsi="Calibri" w:cs="Calibri"/>
          <w:color w:val="000000"/>
          <w:szCs w:val="24"/>
          <w:lang w:eastAsia="en-GB"/>
        </w:rPr>
      </w:pPr>
    </w:p>
    <w:p w14:paraId="05327DB8" w14:textId="77777777" w:rsidR="00297EE7" w:rsidRPr="00297EE7" w:rsidRDefault="00297EE7" w:rsidP="00297EE7">
      <w:pPr>
        <w:pStyle w:val="ListParagraph"/>
        <w:numPr>
          <w:ilvl w:val="0"/>
          <w:numId w:val="40"/>
        </w:numPr>
        <w:autoSpaceDE w:val="0"/>
        <w:autoSpaceDN w:val="0"/>
        <w:adjustRightInd w:val="0"/>
        <w:spacing w:before="0" w:after="0"/>
        <w:rPr>
          <w:rFonts w:ascii="Calibri" w:eastAsia="Calibri" w:hAnsi="Calibri" w:cs="Calibri"/>
          <w:b/>
          <w:bCs/>
          <w:color w:val="000000"/>
          <w:szCs w:val="24"/>
          <w:lang w:eastAsia="en-GB"/>
        </w:rPr>
      </w:pPr>
      <w:r w:rsidRPr="00297EE7">
        <w:rPr>
          <w:rFonts w:ascii="Calibri" w:eastAsia="Calibri" w:hAnsi="Calibri" w:cs="Calibri"/>
          <w:b/>
          <w:bCs/>
          <w:color w:val="000000"/>
          <w:szCs w:val="24"/>
          <w:lang w:eastAsia="en-GB"/>
        </w:rPr>
        <w:t>Access to Funding / Liquidity</w:t>
      </w:r>
    </w:p>
    <w:p w14:paraId="7D0DA3ED" w14:textId="77777777" w:rsidR="00297EE7" w:rsidRPr="00297EE7" w:rsidRDefault="00297EE7" w:rsidP="00297EE7">
      <w:pPr>
        <w:pStyle w:val="ListParagraph"/>
        <w:autoSpaceDE w:val="0"/>
        <w:autoSpaceDN w:val="0"/>
        <w:adjustRightInd w:val="0"/>
        <w:spacing w:before="0" w:after="0"/>
        <w:ind w:left="360"/>
        <w:rPr>
          <w:rFonts w:ascii="Calibri" w:eastAsia="Calibri" w:hAnsi="Calibri" w:cs="Calibri"/>
          <w:color w:val="000000"/>
          <w:szCs w:val="24"/>
          <w:lang w:eastAsia="en-GB"/>
        </w:rPr>
      </w:pPr>
    </w:p>
    <w:p w14:paraId="0F56C21F" w14:textId="77777777" w:rsidR="00297EE7" w:rsidRDefault="00297EE7" w:rsidP="00297EE7">
      <w:pPr>
        <w:autoSpaceDE w:val="0"/>
        <w:autoSpaceDN w:val="0"/>
        <w:adjustRightInd w:val="0"/>
        <w:spacing w:before="0" w:after="0"/>
        <w:rPr>
          <w:rFonts w:ascii="Calibri" w:eastAsia="Calibri" w:hAnsi="Calibri" w:cs="Calibri"/>
          <w:color w:val="000000"/>
          <w:szCs w:val="24"/>
          <w:lang w:eastAsia="en-GB"/>
        </w:rPr>
      </w:pPr>
      <w:r w:rsidRPr="00297EE7">
        <w:rPr>
          <w:rFonts w:ascii="Calibri" w:eastAsia="Calibri" w:hAnsi="Calibri" w:cs="Calibri"/>
          <w:color w:val="000000"/>
          <w:szCs w:val="24"/>
          <w:lang w:eastAsia="en-GB"/>
        </w:rPr>
        <w:t>Whilst no longer required under th</w:t>
      </w:r>
      <w:r w:rsidR="00841C69">
        <w:rPr>
          <w:rFonts w:ascii="Calibri" w:eastAsia="Calibri" w:hAnsi="Calibri" w:cs="Calibri"/>
          <w:color w:val="000000"/>
          <w:szCs w:val="24"/>
          <w:lang w:eastAsia="en-GB"/>
        </w:rPr>
        <w:t>e FT</w:t>
      </w:r>
      <w:r w:rsidRPr="00297EE7">
        <w:rPr>
          <w:rFonts w:ascii="Calibri" w:eastAsia="Calibri" w:hAnsi="Calibri" w:cs="Calibri"/>
          <w:color w:val="000000"/>
          <w:szCs w:val="24"/>
          <w:lang w:eastAsia="en-GB"/>
        </w:rPr>
        <w:t xml:space="preserve">ARM the Trust has considered it </w:t>
      </w:r>
      <w:r w:rsidR="00841C69" w:rsidRPr="00297EE7">
        <w:rPr>
          <w:rFonts w:ascii="Calibri" w:eastAsia="Calibri" w:hAnsi="Calibri" w:cs="Calibri"/>
          <w:color w:val="000000"/>
          <w:szCs w:val="24"/>
          <w:lang w:eastAsia="en-GB"/>
        </w:rPr>
        <w:t>has adequate</w:t>
      </w:r>
      <w:r w:rsidRPr="00297EE7">
        <w:rPr>
          <w:rFonts w:ascii="Calibri" w:eastAsia="Calibri" w:hAnsi="Calibri" w:cs="Calibri"/>
          <w:color w:val="000000"/>
          <w:szCs w:val="24"/>
          <w:lang w:eastAsia="en-GB"/>
        </w:rPr>
        <w:t xml:space="preserve"> resources to continue in operational existence for the foreseeable future.</w:t>
      </w:r>
    </w:p>
    <w:p w14:paraId="0E61DF07" w14:textId="77777777" w:rsidR="00297EE7" w:rsidRDefault="00297EE7" w:rsidP="00297EE7">
      <w:pPr>
        <w:autoSpaceDE w:val="0"/>
        <w:autoSpaceDN w:val="0"/>
        <w:adjustRightInd w:val="0"/>
        <w:spacing w:before="0" w:after="0"/>
        <w:rPr>
          <w:rFonts w:ascii="Calibri" w:eastAsia="Calibri" w:hAnsi="Calibri" w:cs="Calibri"/>
          <w:color w:val="000000"/>
          <w:szCs w:val="24"/>
          <w:lang w:eastAsia="en-GB"/>
        </w:rPr>
      </w:pPr>
    </w:p>
    <w:p w14:paraId="5BB5D91F" w14:textId="4B0C6965" w:rsidR="00297EE7" w:rsidRPr="00F87A6F" w:rsidRDefault="00297EE7" w:rsidP="00297EE7">
      <w:pPr>
        <w:autoSpaceDE w:val="0"/>
        <w:autoSpaceDN w:val="0"/>
        <w:adjustRightInd w:val="0"/>
        <w:spacing w:before="0" w:after="0"/>
        <w:rPr>
          <w:rFonts w:ascii="Calibri" w:eastAsia="Calibri" w:hAnsi="Calibri" w:cs="Calibri"/>
          <w:color w:val="000000"/>
          <w:szCs w:val="24"/>
          <w:highlight w:val="yellow"/>
          <w:lang w:eastAsia="en-GB"/>
        </w:rPr>
      </w:pPr>
      <w:r w:rsidRPr="00297EE7">
        <w:rPr>
          <w:rFonts w:ascii="Calibri" w:eastAsia="Calibri" w:hAnsi="Calibri" w:cs="Calibri"/>
          <w:color w:val="000000"/>
          <w:szCs w:val="24"/>
          <w:lang w:eastAsia="en-GB"/>
        </w:rPr>
        <w:t xml:space="preserve"> </w:t>
      </w:r>
      <w:r w:rsidRPr="00F22225">
        <w:rPr>
          <w:rFonts w:ascii="Calibri" w:eastAsia="Calibri" w:hAnsi="Calibri" w:cs="Calibri"/>
          <w:color w:val="000000"/>
          <w:szCs w:val="24"/>
          <w:lang w:eastAsia="en-GB"/>
        </w:rPr>
        <w:t>The Trust’s banking is conducted primarily through the Government Banking Service (GBS). A weekly cash flow forecast is used to aid cash management; and cash forecasts for the full financial year are reported to the Trust Board on a monthly basis. The Trust’s cash position during 202</w:t>
      </w:r>
      <w:r w:rsidR="004F1E14" w:rsidRPr="00F22225">
        <w:rPr>
          <w:rFonts w:ascii="Calibri" w:eastAsia="Calibri" w:hAnsi="Calibri" w:cs="Calibri"/>
          <w:color w:val="000000"/>
          <w:szCs w:val="24"/>
          <w:lang w:eastAsia="en-GB"/>
        </w:rPr>
        <w:t>1</w:t>
      </w:r>
      <w:r w:rsidRPr="00F22225">
        <w:rPr>
          <w:rFonts w:ascii="Calibri" w:eastAsia="Calibri" w:hAnsi="Calibri" w:cs="Calibri"/>
          <w:color w:val="000000"/>
          <w:szCs w:val="24"/>
          <w:lang w:eastAsia="en-GB"/>
        </w:rPr>
        <w:t>/2</w:t>
      </w:r>
      <w:r w:rsidR="004F1E14" w:rsidRPr="00F22225">
        <w:rPr>
          <w:rFonts w:ascii="Calibri" w:eastAsia="Calibri" w:hAnsi="Calibri" w:cs="Calibri"/>
          <w:color w:val="000000"/>
          <w:szCs w:val="24"/>
          <w:lang w:eastAsia="en-GB"/>
        </w:rPr>
        <w:t>2</w:t>
      </w:r>
      <w:r w:rsidRPr="00F22225">
        <w:rPr>
          <w:rFonts w:ascii="Calibri" w:eastAsia="Calibri" w:hAnsi="Calibri" w:cs="Calibri"/>
          <w:color w:val="000000"/>
          <w:szCs w:val="24"/>
          <w:lang w:eastAsia="en-GB"/>
        </w:rPr>
        <w:t xml:space="preserve"> has been consistently above plan and stood at £</w:t>
      </w:r>
      <w:r w:rsidR="004F1E14" w:rsidRPr="00F22225">
        <w:rPr>
          <w:rFonts w:ascii="Calibri" w:eastAsia="Calibri" w:hAnsi="Calibri" w:cs="Calibri"/>
          <w:color w:val="000000"/>
          <w:szCs w:val="24"/>
          <w:lang w:eastAsia="en-GB"/>
        </w:rPr>
        <w:t>7</w:t>
      </w:r>
      <w:r w:rsidR="00F22225" w:rsidRPr="00F22225">
        <w:rPr>
          <w:rFonts w:ascii="Calibri" w:eastAsia="Calibri" w:hAnsi="Calibri" w:cs="Calibri"/>
          <w:color w:val="000000"/>
          <w:szCs w:val="24"/>
          <w:lang w:eastAsia="en-GB"/>
        </w:rPr>
        <w:t>1</w:t>
      </w:r>
      <w:r w:rsidRPr="00F22225">
        <w:rPr>
          <w:rFonts w:ascii="Calibri" w:eastAsia="Calibri" w:hAnsi="Calibri" w:cs="Calibri"/>
          <w:color w:val="000000"/>
          <w:szCs w:val="24"/>
          <w:lang w:eastAsia="en-GB"/>
        </w:rPr>
        <w:t>.</w:t>
      </w:r>
      <w:r w:rsidR="00F22225" w:rsidRPr="00F22225">
        <w:rPr>
          <w:rFonts w:ascii="Calibri" w:eastAsia="Calibri" w:hAnsi="Calibri" w:cs="Calibri"/>
          <w:color w:val="000000"/>
          <w:szCs w:val="24"/>
          <w:lang w:eastAsia="en-GB"/>
        </w:rPr>
        <w:t>9</w:t>
      </w:r>
      <w:r w:rsidRPr="00F22225">
        <w:rPr>
          <w:rFonts w:ascii="Calibri" w:eastAsia="Calibri" w:hAnsi="Calibri" w:cs="Calibri"/>
          <w:color w:val="000000"/>
          <w:szCs w:val="24"/>
          <w:lang w:eastAsia="en-GB"/>
        </w:rPr>
        <w:t xml:space="preserve"> million at the end of April 202</w:t>
      </w:r>
      <w:r w:rsidR="004F1E14" w:rsidRPr="00F22225">
        <w:rPr>
          <w:rFonts w:ascii="Calibri" w:eastAsia="Calibri" w:hAnsi="Calibri" w:cs="Calibri"/>
          <w:color w:val="000000"/>
          <w:szCs w:val="24"/>
          <w:lang w:eastAsia="en-GB"/>
        </w:rPr>
        <w:t>2</w:t>
      </w:r>
      <w:r w:rsidRPr="00F22225">
        <w:rPr>
          <w:rFonts w:ascii="Calibri" w:eastAsia="Calibri" w:hAnsi="Calibri" w:cs="Calibri"/>
          <w:color w:val="000000"/>
          <w:szCs w:val="24"/>
          <w:lang w:eastAsia="en-GB"/>
        </w:rPr>
        <w:t xml:space="preserve"> – equating to liquidity days of </w:t>
      </w:r>
      <w:r w:rsidR="00F22225" w:rsidRPr="00F22225">
        <w:rPr>
          <w:rFonts w:ascii="Calibri" w:eastAsia="Calibri" w:hAnsi="Calibri" w:cs="Calibri"/>
          <w:color w:val="000000"/>
          <w:szCs w:val="24"/>
          <w:lang w:eastAsia="en-GB"/>
        </w:rPr>
        <w:t>99</w:t>
      </w:r>
      <w:r w:rsidRPr="00F22225">
        <w:rPr>
          <w:rFonts w:ascii="Calibri" w:eastAsia="Calibri" w:hAnsi="Calibri" w:cs="Calibri"/>
          <w:color w:val="000000"/>
          <w:szCs w:val="24"/>
          <w:lang w:eastAsia="en-GB"/>
        </w:rPr>
        <w:t xml:space="preserve">.   </w:t>
      </w:r>
    </w:p>
    <w:p w14:paraId="6A576256" w14:textId="77777777" w:rsidR="00297EE7" w:rsidRPr="00971265" w:rsidRDefault="00297EE7" w:rsidP="00297EE7">
      <w:pPr>
        <w:pStyle w:val="ListParagraph"/>
        <w:autoSpaceDE w:val="0"/>
        <w:autoSpaceDN w:val="0"/>
        <w:adjustRightInd w:val="0"/>
        <w:spacing w:before="0" w:after="0"/>
        <w:ind w:left="360"/>
        <w:rPr>
          <w:rFonts w:ascii="Calibri" w:eastAsia="Calibri" w:hAnsi="Calibri" w:cs="Calibri"/>
          <w:color w:val="000000"/>
          <w:szCs w:val="24"/>
          <w:lang w:eastAsia="en-GB"/>
        </w:rPr>
      </w:pPr>
    </w:p>
    <w:p w14:paraId="3564628C" w14:textId="299BC511" w:rsidR="00297EE7" w:rsidRDefault="00297EE7" w:rsidP="00CB1786">
      <w:pPr>
        <w:autoSpaceDE w:val="0"/>
        <w:autoSpaceDN w:val="0"/>
        <w:adjustRightInd w:val="0"/>
        <w:spacing w:before="0" w:after="0"/>
        <w:rPr>
          <w:rFonts w:ascii="Calibri" w:eastAsia="Calibri" w:hAnsi="Calibri" w:cs="Calibri"/>
          <w:color w:val="000000"/>
          <w:szCs w:val="24"/>
          <w:lang w:eastAsia="en-GB"/>
        </w:rPr>
      </w:pPr>
      <w:r w:rsidRPr="00971265">
        <w:rPr>
          <w:rFonts w:ascii="Calibri" w:eastAsia="Calibri" w:hAnsi="Calibri" w:cs="Calibri"/>
          <w:color w:val="000000"/>
          <w:szCs w:val="24"/>
          <w:lang w:eastAsia="en-GB"/>
        </w:rPr>
        <w:t>The 202</w:t>
      </w:r>
      <w:r w:rsidR="00971265" w:rsidRPr="00971265">
        <w:rPr>
          <w:rFonts w:ascii="Calibri" w:eastAsia="Calibri" w:hAnsi="Calibri" w:cs="Calibri"/>
          <w:color w:val="000000"/>
          <w:szCs w:val="24"/>
          <w:lang w:eastAsia="en-GB"/>
        </w:rPr>
        <w:t>2</w:t>
      </w:r>
      <w:r w:rsidRPr="00971265">
        <w:rPr>
          <w:rFonts w:ascii="Calibri" w:eastAsia="Calibri" w:hAnsi="Calibri" w:cs="Calibri"/>
          <w:color w:val="000000"/>
          <w:szCs w:val="24"/>
          <w:lang w:eastAsia="en-GB"/>
        </w:rPr>
        <w:t>/2</w:t>
      </w:r>
      <w:r w:rsidR="00971265" w:rsidRPr="00971265">
        <w:rPr>
          <w:rFonts w:ascii="Calibri" w:eastAsia="Calibri" w:hAnsi="Calibri" w:cs="Calibri"/>
          <w:color w:val="000000"/>
          <w:szCs w:val="24"/>
          <w:lang w:eastAsia="en-GB"/>
        </w:rPr>
        <w:t>3</w:t>
      </w:r>
      <w:r w:rsidRPr="00971265">
        <w:rPr>
          <w:rFonts w:ascii="Calibri" w:eastAsia="Calibri" w:hAnsi="Calibri" w:cs="Calibri"/>
          <w:color w:val="000000"/>
          <w:szCs w:val="24"/>
          <w:lang w:eastAsia="en-GB"/>
        </w:rPr>
        <w:t xml:space="preserve"> plan forecasts a healthy cash balance with reserves being used to fund carry forward capital and the Oriel redevelopment. The current plan give</w:t>
      </w:r>
      <w:r w:rsidR="00CB1786" w:rsidRPr="00971265">
        <w:rPr>
          <w:rFonts w:ascii="Calibri" w:eastAsia="Calibri" w:hAnsi="Calibri" w:cs="Calibri"/>
          <w:color w:val="000000"/>
          <w:szCs w:val="24"/>
          <w:lang w:eastAsia="en-GB"/>
        </w:rPr>
        <w:t xml:space="preserve">s </w:t>
      </w:r>
      <w:r w:rsidR="00841C69" w:rsidRPr="00971265">
        <w:rPr>
          <w:rFonts w:ascii="Calibri" w:eastAsia="Calibri" w:hAnsi="Calibri" w:cs="Calibri"/>
          <w:color w:val="000000"/>
          <w:szCs w:val="24"/>
          <w:lang w:eastAsia="en-GB"/>
        </w:rPr>
        <w:t>closing</w:t>
      </w:r>
      <w:r w:rsidR="00CB1786" w:rsidRPr="00971265">
        <w:rPr>
          <w:rFonts w:ascii="Calibri" w:eastAsia="Calibri" w:hAnsi="Calibri" w:cs="Calibri"/>
          <w:color w:val="000000"/>
          <w:szCs w:val="24"/>
          <w:lang w:eastAsia="en-GB"/>
        </w:rPr>
        <w:t xml:space="preserve"> cash balance of £5</w:t>
      </w:r>
      <w:r w:rsidR="00971265" w:rsidRPr="00971265">
        <w:rPr>
          <w:rFonts w:ascii="Calibri" w:eastAsia="Calibri" w:hAnsi="Calibri" w:cs="Calibri"/>
          <w:color w:val="000000"/>
          <w:szCs w:val="24"/>
          <w:lang w:eastAsia="en-GB"/>
        </w:rPr>
        <w:t>7.1</w:t>
      </w:r>
      <w:r w:rsidRPr="00971265">
        <w:rPr>
          <w:rFonts w:ascii="Calibri" w:eastAsia="Calibri" w:hAnsi="Calibri" w:cs="Calibri"/>
          <w:color w:val="000000"/>
          <w:szCs w:val="24"/>
          <w:lang w:eastAsia="en-GB"/>
        </w:rPr>
        <w:t>m with no requirements for external funding</w:t>
      </w:r>
      <w:r w:rsidR="004F1E14" w:rsidRPr="00971265">
        <w:rPr>
          <w:rFonts w:ascii="Calibri" w:eastAsia="Calibri" w:hAnsi="Calibri" w:cs="Calibri"/>
          <w:color w:val="000000"/>
          <w:szCs w:val="24"/>
          <w:lang w:eastAsia="en-GB"/>
        </w:rPr>
        <w:t xml:space="preserve"> (other than Oriel and other externally funded capital)</w:t>
      </w:r>
      <w:r w:rsidRPr="00971265">
        <w:rPr>
          <w:rFonts w:ascii="Calibri" w:eastAsia="Calibri" w:hAnsi="Calibri" w:cs="Calibri"/>
          <w:color w:val="000000"/>
          <w:szCs w:val="24"/>
          <w:lang w:eastAsia="en-GB"/>
        </w:rPr>
        <w:t xml:space="preserve">. </w:t>
      </w:r>
      <w:r w:rsidR="00CB1786" w:rsidRPr="00971265">
        <w:rPr>
          <w:rFonts w:ascii="Calibri" w:eastAsia="Calibri" w:hAnsi="Calibri" w:cs="Calibri"/>
          <w:color w:val="000000"/>
          <w:szCs w:val="24"/>
          <w:lang w:eastAsia="en-GB"/>
        </w:rPr>
        <w:t>This is a draft assessment which will be updated with more information as it becomes available</w:t>
      </w:r>
      <w:r w:rsidR="0074750B" w:rsidRPr="00971265">
        <w:rPr>
          <w:rFonts w:ascii="Calibri" w:eastAsia="Calibri" w:hAnsi="Calibri" w:cs="Calibri"/>
          <w:color w:val="000000"/>
          <w:szCs w:val="24"/>
          <w:lang w:eastAsia="en-GB"/>
        </w:rPr>
        <w:t>,</w:t>
      </w:r>
      <w:r w:rsidR="00CB1786" w:rsidRPr="00971265">
        <w:rPr>
          <w:rFonts w:ascii="Calibri" w:eastAsia="Calibri" w:hAnsi="Calibri" w:cs="Calibri"/>
          <w:color w:val="000000"/>
          <w:szCs w:val="24"/>
          <w:lang w:eastAsia="en-GB"/>
        </w:rPr>
        <w:t xml:space="preserve"> and a detailed cash flow forecast for the next 12 months is shown in Appendix C.</w:t>
      </w:r>
    </w:p>
    <w:p w14:paraId="67255E83" w14:textId="1D5EDD8D" w:rsidR="00297EE7" w:rsidRDefault="00297EE7" w:rsidP="006D5D7B">
      <w:pPr>
        <w:autoSpaceDE w:val="0"/>
        <w:autoSpaceDN w:val="0"/>
        <w:adjustRightInd w:val="0"/>
        <w:rPr>
          <w:rFonts w:ascii="Calibri" w:eastAsia="Calibri" w:hAnsi="Calibri" w:cs="Calibri"/>
          <w:color w:val="000000"/>
          <w:szCs w:val="24"/>
          <w:lang w:eastAsia="en-GB"/>
        </w:rPr>
      </w:pPr>
    </w:p>
    <w:p w14:paraId="5B663453" w14:textId="7AF246A4" w:rsidR="00614924" w:rsidRDefault="00614924" w:rsidP="006D5D7B">
      <w:pPr>
        <w:autoSpaceDE w:val="0"/>
        <w:autoSpaceDN w:val="0"/>
        <w:adjustRightInd w:val="0"/>
        <w:rPr>
          <w:rFonts w:ascii="Calibri" w:eastAsia="Calibri" w:hAnsi="Calibri" w:cs="Calibri"/>
          <w:color w:val="000000"/>
          <w:szCs w:val="24"/>
          <w:lang w:eastAsia="en-GB"/>
        </w:rPr>
      </w:pPr>
    </w:p>
    <w:p w14:paraId="1FA7B6A3" w14:textId="77777777" w:rsidR="006D5D7B" w:rsidRPr="006D4492" w:rsidRDefault="006D5D7B" w:rsidP="006D5D7B">
      <w:pPr>
        <w:numPr>
          <w:ilvl w:val="0"/>
          <w:numId w:val="40"/>
        </w:numPr>
        <w:tabs>
          <w:tab w:val="num" w:pos="540"/>
        </w:tabs>
        <w:spacing w:before="0" w:after="200" w:line="276" w:lineRule="auto"/>
        <w:rPr>
          <w:rFonts w:ascii="Calibri" w:eastAsia="Calibri" w:hAnsi="Calibri" w:cs="Calibri"/>
          <w:b/>
          <w:szCs w:val="24"/>
          <w:lang w:eastAsia="en-GB"/>
        </w:rPr>
      </w:pPr>
      <w:r w:rsidRPr="006D4492">
        <w:rPr>
          <w:rFonts w:ascii="Calibri" w:hAnsi="Calibri" w:cs="Calibri"/>
          <w:b/>
          <w:szCs w:val="24"/>
        </w:rPr>
        <w:t>Recommendation</w:t>
      </w:r>
    </w:p>
    <w:p w14:paraId="0016460A" w14:textId="77777777" w:rsidR="006D5D7B" w:rsidRDefault="006D5D7B" w:rsidP="006D5D7B">
      <w:pPr>
        <w:autoSpaceDE w:val="0"/>
        <w:autoSpaceDN w:val="0"/>
        <w:adjustRightInd w:val="0"/>
        <w:rPr>
          <w:rFonts w:ascii="Calibri" w:eastAsia="Calibri" w:hAnsi="Calibri" w:cs="Calibri"/>
          <w:color w:val="000000"/>
          <w:szCs w:val="24"/>
          <w:lang w:eastAsia="en-GB"/>
        </w:rPr>
      </w:pPr>
      <w:r w:rsidRPr="00820AB9">
        <w:rPr>
          <w:rFonts w:ascii="Calibri" w:eastAsia="Calibri" w:hAnsi="Calibri" w:cs="Calibri"/>
          <w:color w:val="000000"/>
          <w:szCs w:val="24"/>
          <w:lang w:eastAsia="en-GB"/>
        </w:rPr>
        <w:t xml:space="preserve">The Trust Board is required to consider </w:t>
      </w:r>
      <w:r>
        <w:rPr>
          <w:rFonts w:ascii="Calibri" w:eastAsia="Calibri" w:hAnsi="Calibri" w:cs="Calibri"/>
          <w:color w:val="000000"/>
          <w:szCs w:val="24"/>
          <w:lang w:eastAsia="en-GB"/>
        </w:rPr>
        <w:t>if the following statement applies:</w:t>
      </w:r>
    </w:p>
    <w:p w14:paraId="7189914C" w14:textId="77777777" w:rsidR="006D5D7B" w:rsidRPr="00EA2F0F" w:rsidRDefault="006D5D7B" w:rsidP="006D5D7B">
      <w:pPr>
        <w:autoSpaceDE w:val="0"/>
        <w:autoSpaceDN w:val="0"/>
        <w:adjustRightInd w:val="0"/>
        <w:rPr>
          <w:rFonts w:ascii="Calibri" w:eastAsia="Calibri" w:hAnsi="Calibri" w:cs="Calibri"/>
          <w:color w:val="000000"/>
          <w:szCs w:val="24"/>
          <w:lang w:eastAsia="en-GB"/>
        </w:rPr>
      </w:pPr>
      <w:r>
        <w:rPr>
          <w:rFonts w:ascii="Calibri" w:eastAsia="Calibri" w:hAnsi="Calibri" w:cs="Calibri"/>
          <w:color w:val="000000"/>
          <w:szCs w:val="24"/>
          <w:lang w:eastAsia="en-GB"/>
        </w:rPr>
        <w:t>T</w:t>
      </w:r>
      <w:r w:rsidRPr="00C737D1">
        <w:rPr>
          <w:rFonts w:ascii="Calibri" w:eastAsia="Calibri" w:hAnsi="Calibri" w:cs="Calibri"/>
          <w:color w:val="000000"/>
          <w:szCs w:val="24"/>
          <w:lang w:eastAsia="en-GB"/>
        </w:rPr>
        <w:t>he going conce</w:t>
      </w:r>
      <w:r>
        <w:rPr>
          <w:rFonts w:ascii="Calibri" w:eastAsia="Calibri" w:hAnsi="Calibri" w:cs="Calibri"/>
          <w:color w:val="000000"/>
          <w:szCs w:val="24"/>
          <w:lang w:eastAsia="en-GB"/>
        </w:rPr>
        <w:t xml:space="preserve">rn basis is appropriate for the trust’s </w:t>
      </w:r>
      <w:r w:rsidRPr="00C737D1">
        <w:rPr>
          <w:rFonts w:ascii="Calibri" w:eastAsia="Calibri" w:hAnsi="Calibri" w:cs="Calibri"/>
          <w:color w:val="000000"/>
          <w:szCs w:val="24"/>
          <w:lang w:eastAsia="en-GB"/>
        </w:rPr>
        <w:t xml:space="preserve">accounts </w:t>
      </w:r>
      <w:r>
        <w:rPr>
          <w:rFonts w:ascii="Calibri" w:eastAsia="Calibri" w:hAnsi="Calibri" w:cs="Calibri"/>
          <w:color w:val="000000"/>
          <w:szCs w:val="24"/>
          <w:lang w:eastAsia="en-GB"/>
        </w:rPr>
        <w:t>and this</w:t>
      </w:r>
      <w:r w:rsidRPr="00C737D1">
        <w:rPr>
          <w:rFonts w:ascii="Calibri" w:eastAsia="Calibri" w:hAnsi="Calibri" w:cs="Calibri"/>
          <w:color w:val="000000"/>
          <w:szCs w:val="24"/>
          <w:lang w:eastAsia="en-GB"/>
        </w:rPr>
        <w:t xml:space="preserve"> </w:t>
      </w:r>
      <w:r>
        <w:rPr>
          <w:rFonts w:ascii="Calibri" w:eastAsia="Calibri" w:hAnsi="Calibri" w:cs="Calibri"/>
          <w:color w:val="000000"/>
          <w:szCs w:val="24"/>
          <w:lang w:eastAsia="en-GB"/>
        </w:rPr>
        <w:t xml:space="preserve">assessment is </w:t>
      </w:r>
      <w:r w:rsidRPr="00C737D1">
        <w:rPr>
          <w:rFonts w:ascii="Calibri" w:eastAsia="Calibri" w:hAnsi="Calibri" w:cs="Calibri"/>
          <w:color w:val="000000"/>
          <w:szCs w:val="24"/>
          <w:lang w:eastAsia="en-GB"/>
        </w:rPr>
        <w:t xml:space="preserve">based on </w:t>
      </w:r>
      <w:r>
        <w:rPr>
          <w:rFonts w:ascii="Calibri" w:eastAsia="Calibri" w:hAnsi="Calibri" w:cs="Calibri"/>
          <w:color w:val="000000"/>
          <w:szCs w:val="24"/>
          <w:lang w:eastAsia="en-GB"/>
        </w:rPr>
        <w:t>the</w:t>
      </w:r>
      <w:r w:rsidRPr="00C737D1">
        <w:rPr>
          <w:rFonts w:ascii="Calibri" w:eastAsia="Calibri" w:hAnsi="Calibri" w:cs="Calibri"/>
          <w:color w:val="000000"/>
          <w:szCs w:val="24"/>
          <w:lang w:eastAsia="en-GB"/>
        </w:rPr>
        <w:t xml:space="preserve"> se</w:t>
      </w:r>
      <w:r>
        <w:rPr>
          <w:rFonts w:ascii="Calibri" w:eastAsia="Calibri" w:hAnsi="Calibri" w:cs="Calibri"/>
          <w:color w:val="000000"/>
          <w:szCs w:val="24"/>
          <w:lang w:eastAsia="en-GB"/>
        </w:rPr>
        <w:t>rvices it provides continuing</w:t>
      </w:r>
      <w:r w:rsidRPr="00C737D1">
        <w:rPr>
          <w:rFonts w:ascii="Calibri" w:eastAsia="Calibri" w:hAnsi="Calibri" w:cs="Calibri"/>
          <w:color w:val="000000"/>
          <w:szCs w:val="24"/>
          <w:lang w:eastAsia="en-GB"/>
        </w:rPr>
        <w:t xml:space="preserve"> to be provided with the same assets in the public sector. </w:t>
      </w:r>
    </w:p>
    <w:p w14:paraId="4597FC22" w14:textId="77777777" w:rsidR="006D5D7B" w:rsidRPr="00C737D1" w:rsidRDefault="006D5D7B" w:rsidP="006D5D7B">
      <w:pPr>
        <w:autoSpaceDE w:val="0"/>
        <w:autoSpaceDN w:val="0"/>
        <w:adjustRightInd w:val="0"/>
        <w:rPr>
          <w:rFonts w:ascii="Calibri" w:eastAsia="Calibri" w:hAnsi="Calibri" w:cs="Calibri"/>
          <w:szCs w:val="24"/>
          <w:lang w:eastAsia="en-GB"/>
        </w:rPr>
      </w:pPr>
      <w:r w:rsidRPr="00C737D1">
        <w:rPr>
          <w:rFonts w:ascii="Calibri" w:eastAsia="Calibri" w:hAnsi="Calibri" w:cs="Calibri"/>
          <w:szCs w:val="24"/>
          <w:lang w:eastAsia="en-GB"/>
        </w:rPr>
        <w:t>The following statement will be included in the Annual Report and Accounts</w:t>
      </w:r>
      <w:r>
        <w:rPr>
          <w:rFonts w:ascii="Calibri" w:eastAsia="Calibri" w:hAnsi="Calibri" w:cs="Calibri"/>
          <w:szCs w:val="24"/>
          <w:lang w:eastAsia="en-GB"/>
        </w:rPr>
        <w:t>:</w:t>
      </w:r>
    </w:p>
    <w:p w14:paraId="72B07EA3" w14:textId="77777777" w:rsidR="006D5D7B" w:rsidRDefault="006D5D7B" w:rsidP="006D5D7B">
      <w:pPr>
        <w:autoSpaceDE w:val="0"/>
        <w:autoSpaceDN w:val="0"/>
        <w:adjustRightInd w:val="0"/>
        <w:rPr>
          <w:rFonts w:ascii="Calibri" w:eastAsia="Calibri" w:hAnsi="Calibri" w:cs="Calibri"/>
          <w:szCs w:val="24"/>
          <w:lang w:eastAsia="en-GB"/>
        </w:rPr>
      </w:pPr>
      <w:r w:rsidRPr="00C737D1">
        <w:rPr>
          <w:rFonts w:ascii="Calibri" w:eastAsia="Calibri" w:hAnsi="Calibri" w:cs="Calibri"/>
          <w:szCs w:val="24"/>
          <w:lang w:eastAsia="en-GB"/>
        </w:rPr>
        <w:t>“</w:t>
      </w:r>
      <w:r w:rsidRPr="00C737D1">
        <w:rPr>
          <w:rFonts w:ascii="Calibri" w:eastAsia="Calibri" w:hAnsi="Calibri" w:cs="Calibri"/>
          <w:i/>
          <w:szCs w:val="24"/>
          <w:lang w:eastAsia="en-GB"/>
        </w:rPr>
        <w:t>After making enquiries, the directors have a reasonable expectation that the services provided by the NHS foundation trust will continue to be provided by the public sector for the foreseeable future. For this reason, the directors have adopted the going concern basis in preparing the accounts, following the definition of going concern in the public sector adopted by HM Treasury’s Financial Reporting Manual.”</w:t>
      </w:r>
    </w:p>
    <w:p w14:paraId="77F72EB2" w14:textId="77777777" w:rsidR="006D5D7B" w:rsidRPr="00C90CFC" w:rsidRDefault="006D5D7B" w:rsidP="006D5D7B">
      <w:pPr>
        <w:autoSpaceDE w:val="0"/>
        <w:autoSpaceDN w:val="0"/>
        <w:adjustRightInd w:val="0"/>
        <w:rPr>
          <w:rFonts w:ascii="Calibri" w:eastAsia="Calibri" w:hAnsi="Calibri" w:cs="Calibri"/>
          <w:szCs w:val="24"/>
          <w:lang w:eastAsia="en-GB"/>
        </w:rPr>
      </w:pPr>
    </w:p>
    <w:p w14:paraId="60C749B0" w14:textId="77777777" w:rsidR="006D5D7B" w:rsidRPr="00C737D1" w:rsidRDefault="006D5D7B" w:rsidP="006D5D7B">
      <w:pPr>
        <w:autoSpaceDE w:val="0"/>
        <w:autoSpaceDN w:val="0"/>
        <w:adjustRightInd w:val="0"/>
        <w:rPr>
          <w:rFonts w:ascii="Calibri" w:eastAsia="Calibri" w:hAnsi="Calibri" w:cs="Calibri"/>
          <w:b/>
          <w:bCs/>
          <w:color w:val="FF0000"/>
          <w:szCs w:val="24"/>
          <w:lang w:eastAsia="en-GB"/>
        </w:rPr>
      </w:pPr>
    </w:p>
    <w:p w14:paraId="5862DBD9" w14:textId="77777777" w:rsidR="006D5D7B" w:rsidRPr="00C737D1" w:rsidRDefault="006D5D7B" w:rsidP="006D5D7B">
      <w:pPr>
        <w:autoSpaceDE w:val="0"/>
        <w:autoSpaceDN w:val="0"/>
        <w:adjustRightInd w:val="0"/>
        <w:rPr>
          <w:rFonts w:ascii="Calibri" w:eastAsia="Calibri" w:hAnsi="Calibri" w:cs="Calibri"/>
          <w:b/>
          <w:bCs/>
          <w:color w:val="FF0000"/>
          <w:szCs w:val="24"/>
          <w:lang w:eastAsia="en-GB"/>
        </w:rPr>
      </w:pPr>
    </w:p>
    <w:p w14:paraId="6398F7C9" w14:textId="77777777" w:rsidR="001473C2" w:rsidRDefault="001473C2">
      <w:pPr>
        <w:spacing w:before="0" w:after="200" w:line="276" w:lineRule="auto"/>
        <w:jc w:val="left"/>
      </w:pPr>
    </w:p>
    <w:sectPr w:rsidR="001473C2" w:rsidSect="003F080E">
      <w:headerReference w:type="first" r:id="rId9"/>
      <w:pgSz w:w="11906" w:h="16838"/>
      <w:pgMar w:top="851" w:right="991" w:bottom="426" w:left="720" w:header="426" w:footer="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4C4EB" w14:textId="77777777" w:rsidR="00FC6F60" w:rsidRDefault="00FC6F60" w:rsidP="001164DD">
      <w:pPr>
        <w:spacing w:after="0"/>
      </w:pPr>
      <w:r>
        <w:separator/>
      </w:r>
    </w:p>
  </w:endnote>
  <w:endnote w:type="continuationSeparator" w:id="0">
    <w:p w14:paraId="56770494" w14:textId="77777777" w:rsidR="00FC6F60" w:rsidRDefault="00FC6F60" w:rsidP="001164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Roman">
    <w:altName w:val="Frutiger"/>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A8B55" w14:textId="77777777" w:rsidR="00FC6F60" w:rsidRDefault="00FC6F60" w:rsidP="001164DD">
      <w:pPr>
        <w:spacing w:after="0"/>
      </w:pPr>
      <w:r>
        <w:separator/>
      </w:r>
    </w:p>
  </w:footnote>
  <w:footnote w:type="continuationSeparator" w:id="0">
    <w:p w14:paraId="454F95C2" w14:textId="77777777" w:rsidR="00FC6F60" w:rsidRDefault="00FC6F60" w:rsidP="001164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3338" w14:textId="77777777" w:rsidR="0078251D" w:rsidRDefault="0078251D" w:rsidP="00594B38">
    <w:pPr>
      <w:snapToGrid w:val="0"/>
      <w:spacing w:after="0"/>
      <w:jc w:val="left"/>
    </w:pPr>
    <w:r w:rsidRPr="002E68EE">
      <w:rPr>
        <w:rFonts w:ascii="Arial" w:eastAsia="Batang" w:hAnsi="Arial" w:cs="Times New Roman"/>
        <w:noProof/>
        <w:lang w:eastAsia="en-GB"/>
      </w:rPr>
      <w:drawing>
        <wp:anchor distT="0" distB="0" distL="114300" distR="114300" simplePos="0" relativeHeight="251657216" behindDoc="0" locked="0" layoutInCell="1" allowOverlap="1" wp14:anchorId="61AE0F61" wp14:editId="6D90E5E2">
          <wp:simplePos x="0" y="0"/>
          <wp:positionH relativeFrom="margin">
            <wp:posOffset>5799455</wp:posOffset>
          </wp:positionH>
          <wp:positionV relativeFrom="paragraph">
            <wp:posOffset>85090</wp:posOffset>
          </wp:positionV>
          <wp:extent cx="671830" cy="27051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671830" cy="270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E68EE">
      <w:rPr>
        <w:rFonts w:ascii="Arial" w:eastAsia="Batang" w:hAnsi="Arial" w:cs="Times New Roman"/>
        <w:noProof/>
        <w:lang w:eastAsia="en-GB"/>
      </w:rPr>
      <w:drawing>
        <wp:inline distT="0" distB="0" distL="0" distR="0" wp14:anchorId="6AD013A6" wp14:editId="4B8EAD95">
          <wp:extent cx="1998133" cy="534027"/>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orfields logo.png"/>
                  <pic:cNvPicPr/>
                </pic:nvPicPr>
                <pic:blipFill>
                  <a:blip r:embed="rId2">
                    <a:extLst>
                      <a:ext uri="{28A0092B-C50C-407E-A947-70E740481C1C}">
                        <a14:useLocalDpi xmlns:a14="http://schemas.microsoft.com/office/drawing/2010/main" val="0"/>
                      </a:ext>
                    </a:extLst>
                  </a:blip>
                  <a:stretch>
                    <a:fillRect/>
                  </a:stretch>
                </pic:blipFill>
                <pic:spPr>
                  <a:xfrm>
                    <a:off x="0" y="0"/>
                    <a:ext cx="2007288" cy="5364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BAA"/>
    <w:multiLevelType w:val="hybridMultilevel"/>
    <w:tmpl w:val="E2846F44"/>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41377C6"/>
    <w:multiLevelType w:val="hybridMultilevel"/>
    <w:tmpl w:val="86586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917E79"/>
    <w:multiLevelType w:val="hybridMultilevel"/>
    <w:tmpl w:val="7144A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4170D"/>
    <w:multiLevelType w:val="hybridMultilevel"/>
    <w:tmpl w:val="EDE0663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F5611CE"/>
    <w:multiLevelType w:val="hybridMultilevel"/>
    <w:tmpl w:val="88BC3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B2394"/>
    <w:multiLevelType w:val="hybridMultilevel"/>
    <w:tmpl w:val="275AF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80177"/>
    <w:multiLevelType w:val="hybridMultilevel"/>
    <w:tmpl w:val="C3564E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6EA4968"/>
    <w:multiLevelType w:val="hybridMultilevel"/>
    <w:tmpl w:val="CCC88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CB6BC8"/>
    <w:multiLevelType w:val="hybridMultilevel"/>
    <w:tmpl w:val="424A9DC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8F05B38"/>
    <w:multiLevelType w:val="hybridMultilevel"/>
    <w:tmpl w:val="83A2626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19F215A4"/>
    <w:multiLevelType w:val="hybridMultilevel"/>
    <w:tmpl w:val="DEB69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F4EA1"/>
    <w:multiLevelType w:val="hybridMultilevel"/>
    <w:tmpl w:val="70504E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C6616"/>
    <w:multiLevelType w:val="hybridMultilevel"/>
    <w:tmpl w:val="FFF0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764EFB"/>
    <w:multiLevelType w:val="hybridMultilevel"/>
    <w:tmpl w:val="8DA0D13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266118FD"/>
    <w:multiLevelType w:val="hybridMultilevel"/>
    <w:tmpl w:val="59AE03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CA3680"/>
    <w:multiLevelType w:val="multilevel"/>
    <w:tmpl w:val="9C2845EA"/>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DC508B6"/>
    <w:multiLevelType w:val="hybridMultilevel"/>
    <w:tmpl w:val="C7C0A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C520A5"/>
    <w:multiLevelType w:val="hybridMultilevel"/>
    <w:tmpl w:val="99D631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1373D1"/>
    <w:multiLevelType w:val="hybridMultilevel"/>
    <w:tmpl w:val="E38E5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B82FDC"/>
    <w:multiLevelType w:val="hybridMultilevel"/>
    <w:tmpl w:val="7D3AA6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7A66AB"/>
    <w:multiLevelType w:val="hybridMultilevel"/>
    <w:tmpl w:val="E926D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D7451E"/>
    <w:multiLevelType w:val="hybridMultilevel"/>
    <w:tmpl w:val="C3E49038"/>
    <w:lvl w:ilvl="0" w:tplc="4DEEF86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4254E1"/>
    <w:multiLevelType w:val="hybridMultilevel"/>
    <w:tmpl w:val="E594EB5E"/>
    <w:lvl w:ilvl="0" w:tplc="08090001">
      <w:start w:val="1"/>
      <w:numFmt w:val="bullet"/>
      <w:lvlText w:val=""/>
      <w:lvlJc w:val="left"/>
      <w:pPr>
        <w:ind w:left="745" w:hanging="360"/>
      </w:pPr>
      <w:rPr>
        <w:rFonts w:ascii="Symbol" w:hAnsi="Symbol" w:hint="default"/>
      </w:rPr>
    </w:lvl>
    <w:lvl w:ilvl="1" w:tplc="08090003" w:tentative="1">
      <w:start w:val="1"/>
      <w:numFmt w:val="bullet"/>
      <w:lvlText w:val="o"/>
      <w:lvlJc w:val="left"/>
      <w:pPr>
        <w:ind w:left="1465" w:hanging="360"/>
      </w:pPr>
      <w:rPr>
        <w:rFonts w:ascii="Courier New" w:hAnsi="Courier New" w:cs="Courier New" w:hint="default"/>
      </w:rPr>
    </w:lvl>
    <w:lvl w:ilvl="2" w:tplc="08090005" w:tentative="1">
      <w:start w:val="1"/>
      <w:numFmt w:val="bullet"/>
      <w:lvlText w:val=""/>
      <w:lvlJc w:val="left"/>
      <w:pPr>
        <w:ind w:left="2185" w:hanging="360"/>
      </w:pPr>
      <w:rPr>
        <w:rFonts w:ascii="Wingdings" w:hAnsi="Wingdings" w:hint="default"/>
      </w:rPr>
    </w:lvl>
    <w:lvl w:ilvl="3" w:tplc="08090001" w:tentative="1">
      <w:start w:val="1"/>
      <w:numFmt w:val="bullet"/>
      <w:lvlText w:val=""/>
      <w:lvlJc w:val="left"/>
      <w:pPr>
        <w:ind w:left="2905" w:hanging="360"/>
      </w:pPr>
      <w:rPr>
        <w:rFonts w:ascii="Symbol" w:hAnsi="Symbol" w:hint="default"/>
      </w:rPr>
    </w:lvl>
    <w:lvl w:ilvl="4" w:tplc="08090003" w:tentative="1">
      <w:start w:val="1"/>
      <w:numFmt w:val="bullet"/>
      <w:lvlText w:val="o"/>
      <w:lvlJc w:val="left"/>
      <w:pPr>
        <w:ind w:left="3625" w:hanging="360"/>
      </w:pPr>
      <w:rPr>
        <w:rFonts w:ascii="Courier New" w:hAnsi="Courier New" w:cs="Courier New" w:hint="default"/>
      </w:rPr>
    </w:lvl>
    <w:lvl w:ilvl="5" w:tplc="08090005" w:tentative="1">
      <w:start w:val="1"/>
      <w:numFmt w:val="bullet"/>
      <w:lvlText w:val=""/>
      <w:lvlJc w:val="left"/>
      <w:pPr>
        <w:ind w:left="4345" w:hanging="360"/>
      </w:pPr>
      <w:rPr>
        <w:rFonts w:ascii="Wingdings" w:hAnsi="Wingdings" w:hint="default"/>
      </w:rPr>
    </w:lvl>
    <w:lvl w:ilvl="6" w:tplc="08090001" w:tentative="1">
      <w:start w:val="1"/>
      <w:numFmt w:val="bullet"/>
      <w:lvlText w:val=""/>
      <w:lvlJc w:val="left"/>
      <w:pPr>
        <w:ind w:left="5065" w:hanging="360"/>
      </w:pPr>
      <w:rPr>
        <w:rFonts w:ascii="Symbol" w:hAnsi="Symbol" w:hint="default"/>
      </w:rPr>
    </w:lvl>
    <w:lvl w:ilvl="7" w:tplc="08090003" w:tentative="1">
      <w:start w:val="1"/>
      <w:numFmt w:val="bullet"/>
      <w:lvlText w:val="o"/>
      <w:lvlJc w:val="left"/>
      <w:pPr>
        <w:ind w:left="5785" w:hanging="360"/>
      </w:pPr>
      <w:rPr>
        <w:rFonts w:ascii="Courier New" w:hAnsi="Courier New" w:cs="Courier New" w:hint="default"/>
      </w:rPr>
    </w:lvl>
    <w:lvl w:ilvl="8" w:tplc="08090005" w:tentative="1">
      <w:start w:val="1"/>
      <w:numFmt w:val="bullet"/>
      <w:lvlText w:val=""/>
      <w:lvlJc w:val="left"/>
      <w:pPr>
        <w:ind w:left="6505" w:hanging="360"/>
      </w:pPr>
      <w:rPr>
        <w:rFonts w:ascii="Wingdings" w:hAnsi="Wingdings" w:hint="default"/>
      </w:rPr>
    </w:lvl>
  </w:abstractNum>
  <w:abstractNum w:abstractNumId="23" w15:restartNumberingAfterBreak="0">
    <w:nsid w:val="44610565"/>
    <w:multiLevelType w:val="hybridMultilevel"/>
    <w:tmpl w:val="2A846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80108"/>
    <w:multiLevelType w:val="hybridMultilevel"/>
    <w:tmpl w:val="96DC07E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5" w15:restartNumberingAfterBreak="0">
    <w:nsid w:val="52BD5701"/>
    <w:multiLevelType w:val="hybridMultilevel"/>
    <w:tmpl w:val="277ACA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0736D0"/>
    <w:multiLevelType w:val="hybridMultilevel"/>
    <w:tmpl w:val="28C2E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DD427B"/>
    <w:multiLevelType w:val="hybridMultilevel"/>
    <w:tmpl w:val="3150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411F7C"/>
    <w:multiLevelType w:val="hybridMultilevel"/>
    <w:tmpl w:val="3DE61CFE"/>
    <w:lvl w:ilvl="0" w:tplc="08090001">
      <w:start w:val="1"/>
      <w:numFmt w:val="bullet"/>
      <w:lvlText w:val=""/>
      <w:lvlJc w:val="left"/>
      <w:pPr>
        <w:ind w:left="1051" w:hanging="360"/>
      </w:pPr>
      <w:rPr>
        <w:rFonts w:ascii="Symbol" w:hAnsi="Symbol" w:hint="default"/>
      </w:rPr>
    </w:lvl>
    <w:lvl w:ilvl="1" w:tplc="08090003" w:tentative="1">
      <w:start w:val="1"/>
      <w:numFmt w:val="bullet"/>
      <w:lvlText w:val="o"/>
      <w:lvlJc w:val="left"/>
      <w:pPr>
        <w:ind w:left="1771" w:hanging="360"/>
      </w:pPr>
      <w:rPr>
        <w:rFonts w:ascii="Courier New" w:hAnsi="Courier New" w:cs="Courier New" w:hint="default"/>
      </w:rPr>
    </w:lvl>
    <w:lvl w:ilvl="2" w:tplc="08090005" w:tentative="1">
      <w:start w:val="1"/>
      <w:numFmt w:val="bullet"/>
      <w:lvlText w:val=""/>
      <w:lvlJc w:val="left"/>
      <w:pPr>
        <w:ind w:left="2491" w:hanging="360"/>
      </w:pPr>
      <w:rPr>
        <w:rFonts w:ascii="Wingdings" w:hAnsi="Wingdings" w:hint="default"/>
      </w:rPr>
    </w:lvl>
    <w:lvl w:ilvl="3" w:tplc="08090001" w:tentative="1">
      <w:start w:val="1"/>
      <w:numFmt w:val="bullet"/>
      <w:lvlText w:val=""/>
      <w:lvlJc w:val="left"/>
      <w:pPr>
        <w:ind w:left="3211" w:hanging="360"/>
      </w:pPr>
      <w:rPr>
        <w:rFonts w:ascii="Symbol" w:hAnsi="Symbol" w:hint="default"/>
      </w:rPr>
    </w:lvl>
    <w:lvl w:ilvl="4" w:tplc="08090003" w:tentative="1">
      <w:start w:val="1"/>
      <w:numFmt w:val="bullet"/>
      <w:lvlText w:val="o"/>
      <w:lvlJc w:val="left"/>
      <w:pPr>
        <w:ind w:left="3931" w:hanging="360"/>
      </w:pPr>
      <w:rPr>
        <w:rFonts w:ascii="Courier New" w:hAnsi="Courier New" w:cs="Courier New" w:hint="default"/>
      </w:rPr>
    </w:lvl>
    <w:lvl w:ilvl="5" w:tplc="08090005" w:tentative="1">
      <w:start w:val="1"/>
      <w:numFmt w:val="bullet"/>
      <w:lvlText w:val=""/>
      <w:lvlJc w:val="left"/>
      <w:pPr>
        <w:ind w:left="4651" w:hanging="360"/>
      </w:pPr>
      <w:rPr>
        <w:rFonts w:ascii="Wingdings" w:hAnsi="Wingdings" w:hint="default"/>
      </w:rPr>
    </w:lvl>
    <w:lvl w:ilvl="6" w:tplc="08090001" w:tentative="1">
      <w:start w:val="1"/>
      <w:numFmt w:val="bullet"/>
      <w:lvlText w:val=""/>
      <w:lvlJc w:val="left"/>
      <w:pPr>
        <w:ind w:left="5371" w:hanging="360"/>
      </w:pPr>
      <w:rPr>
        <w:rFonts w:ascii="Symbol" w:hAnsi="Symbol" w:hint="default"/>
      </w:rPr>
    </w:lvl>
    <w:lvl w:ilvl="7" w:tplc="08090003" w:tentative="1">
      <w:start w:val="1"/>
      <w:numFmt w:val="bullet"/>
      <w:lvlText w:val="o"/>
      <w:lvlJc w:val="left"/>
      <w:pPr>
        <w:ind w:left="6091" w:hanging="360"/>
      </w:pPr>
      <w:rPr>
        <w:rFonts w:ascii="Courier New" w:hAnsi="Courier New" w:cs="Courier New" w:hint="default"/>
      </w:rPr>
    </w:lvl>
    <w:lvl w:ilvl="8" w:tplc="08090005" w:tentative="1">
      <w:start w:val="1"/>
      <w:numFmt w:val="bullet"/>
      <w:lvlText w:val=""/>
      <w:lvlJc w:val="left"/>
      <w:pPr>
        <w:ind w:left="6811" w:hanging="360"/>
      </w:pPr>
      <w:rPr>
        <w:rFonts w:ascii="Wingdings" w:hAnsi="Wingdings" w:hint="default"/>
      </w:rPr>
    </w:lvl>
  </w:abstractNum>
  <w:abstractNum w:abstractNumId="29" w15:restartNumberingAfterBreak="0">
    <w:nsid w:val="5DA24E64"/>
    <w:multiLevelType w:val="hybridMultilevel"/>
    <w:tmpl w:val="2C04E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F6778E"/>
    <w:multiLevelType w:val="hybridMultilevel"/>
    <w:tmpl w:val="9050F9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4137F79"/>
    <w:multiLevelType w:val="hybridMultilevel"/>
    <w:tmpl w:val="70504E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387532"/>
    <w:multiLevelType w:val="hybridMultilevel"/>
    <w:tmpl w:val="AFB8D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633B1B"/>
    <w:multiLevelType w:val="hybridMultilevel"/>
    <w:tmpl w:val="24425AD8"/>
    <w:lvl w:ilvl="0" w:tplc="1A78B5E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3E1C38"/>
    <w:multiLevelType w:val="hybridMultilevel"/>
    <w:tmpl w:val="981AB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852D01"/>
    <w:multiLevelType w:val="hybridMultilevel"/>
    <w:tmpl w:val="562657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C6333E"/>
    <w:multiLevelType w:val="hybridMultilevel"/>
    <w:tmpl w:val="4FB41B52"/>
    <w:lvl w:ilvl="0" w:tplc="ADA06238">
      <w:start w:val="1"/>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6AF7BC2"/>
    <w:multiLevelType w:val="hybridMultilevel"/>
    <w:tmpl w:val="3A38F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A57A16"/>
    <w:multiLevelType w:val="hybridMultilevel"/>
    <w:tmpl w:val="C382F7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1F2623"/>
    <w:multiLevelType w:val="hybridMultilevel"/>
    <w:tmpl w:val="8272D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12"/>
  </w:num>
  <w:num w:numId="3">
    <w:abstractNumId w:val="25"/>
  </w:num>
  <w:num w:numId="4">
    <w:abstractNumId w:val="38"/>
  </w:num>
  <w:num w:numId="5">
    <w:abstractNumId w:val="33"/>
  </w:num>
  <w:num w:numId="6">
    <w:abstractNumId w:val="36"/>
  </w:num>
  <w:num w:numId="7">
    <w:abstractNumId w:val="23"/>
  </w:num>
  <w:num w:numId="8">
    <w:abstractNumId w:val="37"/>
  </w:num>
  <w:num w:numId="9">
    <w:abstractNumId w:val="11"/>
  </w:num>
  <w:num w:numId="10">
    <w:abstractNumId w:val="35"/>
  </w:num>
  <w:num w:numId="11">
    <w:abstractNumId w:val="19"/>
  </w:num>
  <w:num w:numId="12">
    <w:abstractNumId w:val="29"/>
  </w:num>
  <w:num w:numId="13">
    <w:abstractNumId w:val="17"/>
  </w:num>
  <w:num w:numId="14">
    <w:abstractNumId w:val="31"/>
  </w:num>
  <w:num w:numId="15">
    <w:abstractNumId w:val="9"/>
  </w:num>
  <w:num w:numId="16">
    <w:abstractNumId w:val="3"/>
  </w:num>
  <w:num w:numId="17">
    <w:abstractNumId w:val="6"/>
  </w:num>
  <w:num w:numId="18">
    <w:abstractNumId w:val="20"/>
  </w:num>
  <w:num w:numId="19">
    <w:abstractNumId w:val="28"/>
  </w:num>
  <w:num w:numId="20">
    <w:abstractNumId w:val="39"/>
  </w:num>
  <w:num w:numId="21">
    <w:abstractNumId w:val="1"/>
  </w:num>
  <w:num w:numId="22">
    <w:abstractNumId w:val="16"/>
  </w:num>
  <w:num w:numId="23">
    <w:abstractNumId w:val="24"/>
  </w:num>
  <w:num w:numId="24">
    <w:abstractNumId w:val="7"/>
  </w:num>
  <w:num w:numId="25">
    <w:abstractNumId w:val="8"/>
  </w:num>
  <w:num w:numId="26">
    <w:abstractNumId w:val="0"/>
  </w:num>
  <w:num w:numId="27">
    <w:abstractNumId w:val="21"/>
  </w:num>
  <w:num w:numId="28">
    <w:abstractNumId w:val="26"/>
  </w:num>
  <w:num w:numId="29">
    <w:abstractNumId w:val="4"/>
  </w:num>
  <w:num w:numId="30">
    <w:abstractNumId w:val="30"/>
  </w:num>
  <w:num w:numId="31">
    <w:abstractNumId w:val="13"/>
  </w:num>
  <w:num w:numId="32">
    <w:abstractNumId w:val="10"/>
  </w:num>
  <w:num w:numId="33">
    <w:abstractNumId w:val="18"/>
  </w:num>
  <w:num w:numId="34">
    <w:abstractNumId w:val="32"/>
  </w:num>
  <w:num w:numId="35">
    <w:abstractNumId w:val="34"/>
  </w:num>
  <w:num w:numId="36">
    <w:abstractNumId w:val="22"/>
  </w:num>
  <w:num w:numId="37">
    <w:abstractNumId w:val="5"/>
  </w:num>
  <w:num w:numId="38">
    <w:abstractNumId w:val="36"/>
  </w:num>
  <w:num w:numId="39">
    <w:abstractNumId w:val="14"/>
  </w:num>
  <w:num w:numId="40">
    <w:abstractNumId w:val="15"/>
  </w:num>
  <w:num w:numId="41">
    <w:abstractNumId w:val="2"/>
  </w:num>
  <w:num w:numId="42">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DD"/>
    <w:rsid w:val="00000308"/>
    <w:rsid w:val="000007A6"/>
    <w:rsid w:val="00002CA0"/>
    <w:rsid w:val="00005B82"/>
    <w:rsid w:val="00010995"/>
    <w:rsid w:val="00013F46"/>
    <w:rsid w:val="00014C1F"/>
    <w:rsid w:val="00016183"/>
    <w:rsid w:val="00020580"/>
    <w:rsid w:val="00021B9A"/>
    <w:rsid w:val="00021C54"/>
    <w:rsid w:val="00023AFA"/>
    <w:rsid w:val="00024CB7"/>
    <w:rsid w:val="00025720"/>
    <w:rsid w:val="00026C54"/>
    <w:rsid w:val="000276FC"/>
    <w:rsid w:val="0003082F"/>
    <w:rsid w:val="000363E4"/>
    <w:rsid w:val="0003795E"/>
    <w:rsid w:val="00040F4F"/>
    <w:rsid w:val="000430B9"/>
    <w:rsid w:val="00044363"/>
    <w:rsid w:val="000466BA"/>
    <w:rsid w:val="00046E5D"/>
    <w:rsid w:val="00050410"/>
    <w:rsid w:val="00052733"/>
    <w:rsid w:val="00053BA2"/>
    <w:rsid w:val="000546FE"/>
    <w:rsid w:val="0005701B"/>
    <w:rsid w:val="000573FB"/>
    <w:rsid w:val="000605A5"/>
    <w:rsid w:val="000628F4"/>
    <w:rsid w:val="00065D4D"/>
    <w:rsid w:val="0007153E"/>
    <w:rsid w:val="000734B1"/>
    <w:rsid w:val="00074364"/>
    <w:rsid w:val="000756C5"/>
    <w:rsid w:val="00081454"/>
    <w:rsid w:val="000839DB"/>
    <w:rsid w:val="00084285"/>
    <w:rsid w:val="00084C37"/>
    <w:rsid w:val="00085FC3"/>
    <w:rsid w:val="00086B4A"/>
    <w:rsid w:val="00086D42"/>
    <w:rsid w:val="00090376"/>
    <w:rsid w:val="000916BA"/>
    <w:rsid w:val="00093066"/>
    <w:rsid w:val="000931EC"/>
    <w:rsid w:val="000934FA"/>
    <w:rsid w:val="000939E1"/>
    <w:rsid w:val="000A0F87"/>
    <w:rsid w:val="000A19EC"/>
    <w:rsid w:val="000A20CE"/>
    <w:rsid w:val="000A24FA"/>
    <w:rsid w:val="000A276C"/>
    <w:rsid w:val="000A3C30"/>
    <w:rsid w:val="000A3F13"/>
    <w:rsid w:val="000A46D9"/>
    <w:rsid w:val="000A5295"/>
    <w:rsid w:val="000A5643"/>
    <w:rsid w:val="000A577F"/>
    <w:rsid w:val="000A6609"/>
    <w:rsid w:val="000A78D6"/>
    <w:rsid w:val="000B039B"/>
    <w:rsid w:val="000B5454"/>
    <w:rsid w:val="000B6812"/>
    <w:rsid w:val="000C2DFE"/>
    <w:rsid w:val="000C4293"/>
    <w:rsid w:val="000C49AF"/>
    <w:rsid w:val="000C58E2"/>
    <w:rsid w:val="000C78A2"/>
    <w:rsid w:val="000D12B2"/>
    <w:rsid w:val="000D1C39"/>
    <w:rsid w:val="000D1D1A"/>
    <w:rsid w:val="000D2052"/>
    <w:rsid w:val="000D2B4F"/>
    <w:rsid w:val="000D476C"/>
    <w:rsid w:val="000D6543"/>
    <w:rsid w:val="000E053F"/>
    <w:rsid w:val="000E0963"/>
    <w:rsid w:val="000E1871"/>
    <w:rsid w:val="000E2A09"/>
    <w:rsid w:val="000E4F19"/>
    <w:rsid w:val="000E5930"/>
    <w:rsid w:val="000E757B"/>
    <w:rsid w:val="000E77BD"/>
    <w:rsid w:val="000F14C8"/>
    <w:rsid w:val="000F28C1"/>
    <w:rsid w:val="000F3E27"/>
    <w:rsid w:val="000F4BE7"/>
    <w:rsid w:val="000F5563"/>
    <w:rsid w:val="000F5BBF"/>
    <w:rsid w:val="000F5D7C"/>
    <w:rsid w:val="0010577E"/>
    <w:rsid w:val="00106A3A"/>
    <w:rsid w:val="00107722"/>
    <w:rsid w:val="00110022"/>
    <w:rsid w:val="00111A3E"/>
    <w:rsid w:val="00113442"/>
    <w:rsid w:val="001150ED"/>
    <w:rsid w:val="001151F0"/>
    <w:rsid w:val="001164DD"/>
    <w:rsid w:val="00117028"/>
    <w:rsid w:val="001224F3"/>
    <w:rsid w:val="001232D2"/>
    <w:rsid w:val="00124961"/>
    <w:rsid w:val="00126155"/>
    <w:rsid w:val="00126BEB"/>
    <w:rsid w:val="001300A4"/>
    <w:rsid w:val="00133E15"/>
    <w:rsid w:val="00134CAF"/>
    <w:rsid w:val="00135A94"/>
    <w:rsid w:val="001473C2"/>
    <w:rsid w:val="001478A3"/>
    <w:rsid w:val="00150275"/>
    <w:rsid w:val="00150A32"/>
    <w:rsid w:val="00152A49"/>
    <w:rsid w:val="00153A5B"/>
    <w:rsid w:val="00154671"/>
    <w:rsid w:val="001558AA"/>
    <w:rsid w:val="00155DC4"/>
    <w:rsid w:val="00156463"/>
    <w:rsid w:val="0016384E"/>
    <w:rsid w:val="0016579E"/>
    <w:rsid w:val="00165C30"/>
    <w:rsid w:val="00166E35"/>
    <w:rsid w:val="001677E7"/>
    <w:rsid w:val="00171E55"/>
    <w:rsid w:val="00175612"/>
    <w:rsid w:val="0017588A"/>
    <w:rsid w:val="00175DAF"/>
    <w:rsid w:val="00176590"/>
    <w:rsid w:val="001816D2"/>
    <w:rsid w:val="00182329"/>
    <w:rsid w:val="00183980"/>
    <w:rsid w:val="001846AE"/>
    <w:rsid w:val="00185614"/>
    <w:rsid w:val="00187196"/>
    <w:rsid w:val="0019075A"/>
    <w:rsid w:val="00190B55"/>
    <w:rsid w:val="001930DA"/>
    <w:rsid w:val="00193197"/>
    <w:rsid w:val="001A04AF"/>
    <w:rsid w:val="001A291E"/>
    <w:rsid w:val="001A2B92"/>
    <w:rsid w:val="001A5356"/>
    <w:rsid w:val="001A6381"/>
    <w:rsid w:val="001A7AAD"/>
    <w:rsid w:val="001A7D2C"/>
    <w:rsid w:val="001B139B"/>
    <w:rsid w:val="001B1FD2"/>
    <w:rsid w:val="001B257E"/>
    <w:rsid w:val="001B28DF"/>
    <w:rsid w:val="001B2BA9"/>
    <w:rsid w:val="001B41EC"/>
    <w:rsid w:val="001B4C05"/>
    <w:rsid w:val="001B4F5A"/>
    <w:rsid w:val="001B563A"/>
    <w:rsid w:val="001B79FF"/>
    <w:rsid w:val="001C0E0C"/>
    <w:rsid w:val="001C3007"/>
    <w:rsid w:val="001C40E1"/>
    <w:rsid w:val="001C45D5"/>
    <w:rsid w:val="001C68C8"/>
    <w:rsid w:val="001C6DFE"/>
    <w:rsid w:val="001D0E41"/>
    <w:rsid w:val="001D0EA9"/>
    <w:rsid w:val="001D1AEC"/>
    <w:rsid w:val="001D1BB7"/>
    <w:rsid w:val="001D4759"/>
    <w:rsid w:val="001D4961"/>
    <w:rsid w:val="001D7D18"/>
    <w:rsid w:val="001E0BD7"/>
    <w:rsid w:val="001E0E7F"/>
    <w:rsid w:val="001E3613"/>
    <w:rsid w:val="001E3849"/>
    <w:rsid w:val="001E3CB9"/>
    <w:rsid w:val="001E4852"/>
    <w:rsid w:val="001E640B"/>
    <w:rsid w:val="001E64B3"/>
    <w:rsid w:val="001E6782"/>
    <w:rsid w:val="001E6A69"/>
    <w:rsid w:val="001E77CB"/>
    <w:rsid w:val="001F276E"/>
    <w:rsid w:val="001F294B"/>
    <w:rsid w:val="001F4382"/>
    <w:rsid w:val="001F5F12"/>
    <w:rsid w:val="0020118B"/>
    <w:rsid w:val="00201F3E"/>
    <w:rsid w:val="00206F4D"/>
    <w:rsid w:val="00210383"/>
    <w:rsid w:val="00210566"/>
    <w:rsid w:val="00211310"/>
    <w:rsid w:val="00212301"/>
    <w:rsid w:val="00213045"/>
    <w:rsid w:val="00217F25"/>
    <w:rsid w:val="00220726"/>
    <w:rsid w:val="00223995"/>
    <w:rsid w:val="002239A4"/>
    <w:rsid w:val="00226838"/>
    <w:rsid w:val="002306C7"/>
    <w:rsid w:val="00230BDF"/>
    <w:rsid w:val="00231445"/>
    <w:rsid w:val="00233AFF"/>
    <w:rsid w:val="00234977"/>
    <w:rsid w:val="00235C70"/>
    <w:rsid w:val="00236403"/>
    <w:rsid w:val="00237AAD"/>
    <w:rsid w:val="002473EC"/>
    <w:rsid w:val="00257A1A"/>
    <w:rsid w:val="00260176"/>
    <w:rsid w:val="00261B91"/>
    <w:rsid w:val="0026328D"/>
    <w:rsid w:val="00264A37"/>
    <w:rsid w:val="002651BB"/>
    <w:rsid w:val="0026789D"/>
    <w:rsid w:val="002708BC"/>
    <w:rsid w:val="00270EC4"/>
    <w:rsid w:val="00271811"/>
    <w:rsid w:val="00274229"/>
    <w:rsid w:val="00275E18"/>
    <w:rsid w:val="0027620B"/>
    <w:rsid w:val="002805BE"/>
    <w:rsid w:val="00280A2C"/>
    <w:rsid w:val="002815EB"/>
    <w:rsid w:val="0028397F"/>
    <w:rsid w:val="00284B1C"/>
    <w:rsid w:val="00285851"/>
    <w:rsid w:val="00286910"/>
    <w:rsid w:val="00287144"/>
    <w:rsid w:val="002900D6"/>
    <w:rsid w:val="002916B0"/>
    <w:rsid w:val="002946C5"/>
    <w:rsid w:val="00297EE7"/>
    <w:rsid w:val="00297FFC"/>
    <w:rsid w:val="002A07DE"/>
    <w:rsid w:val="002A0FC1"/>
    <w:rsid w:val="002A26E9"/>
    <w:rsid w:val="002A3A84"/>
    <w:rsid w:val="002A4F2C"/>
    <w:rsid w:val="002A5094"/>
    <w:rsid w:val="002A538F"/>
    <w:rsid w:val="002A612B"/>
    <w:rsid w:val="002A6DFB"/>
    <w:rsid w:val="002A7CFE"/>
    <w:rsid w:val="002B33B9"/>
    <w:rsid w:val="002B477B"/>
    <w:rsid w:val="002B4864"/>
    <w:rsid w:val="002B6CC2"/>
    <w:rsid w:val="002B6ED4"/>
    <w:rsid w:val="002B701B"/>
    <w:rsid w:val="002B7298"/>
    <w:rsid w:val="002C1BC5"/>
    <w:rsid w:val="002C3536"/>
    <w:rsid w:val="002D0C6E"/>
    <w:rsid w:val="002D3D35"/>
    <w:rsid w:val="002E0059"/>
    <w:rsid w:val="002E1F81"/>
    <w:rsid w:val="002E2A0B"/>
    <w:rsid w:val="002E42B4"/>
    <w:rsid w:val="002E68EE"/>
    <w:rsid w:val="002F05F1"/>
    <w:rsid w:val="002F1D8B"/>
    <w:rsid w:val="002F41E8"/>
    <w:rsid w:val="002F6151"/>
    <w:rsid w:val="002F6644"/>
    <w:rsid w:val="00302ADD"/>
    <w:rsid w:val="0030551A"/>
    <w:rsid w:val="0031118E"/>
    <w:rsid w:val="00311CCE"/>
    <w:rsid w:val="00314CDD"/>
    <w:rsid w:val="00316851"/>
    <w:rsid w:val="00320E69"/>
    <w:rsid w:val="0032792B"/>
    <w:rsid w:val="0033093F"/>
    <w:rsid w:val="00333DCF"/>
    <w:rsid w:val="003368D9"/>
    <w:rsid w:val="00337147"/>
    <w:rsid w:val="003376F4"/>
    <w:rsid w:val="00337C16"/>
    <w:rsid w:val="00340879"/>
    <w:rsid w:val="0034398C"/>
    <w:rsid w:val="0034799A"/>
    <w:rsid w:val="00351208"/>
    <w:rsid w:val="00351F08"/>
    <w:rsid w:val="00352FBC"/>
    <w:rsid w:val="0035650B"/>
    <w:rsid w:val="00360F4E"/>
    <w:rsid w:val="00361971"/>
    <w:rsid w:val="0036597F"/>
    <w:rsid w:val="00371115"/>
    <w:rsid w:val="00372B21"/>
    <w:rsid w:val="0037378E"/>
    <w:rsid w:val="00376D54"/>
    <w:rsid w:val="00377AB0"/>
    <w:rsid w:val="00384370"/>
    <w:rsid w:val="00386770"/>
    <w:rsid w:val="00395B0D"/>
    <w:rsid w:val="003A1DA2"/>
    <w:rsid w:val="003A3033"/>
    <w:rsid w:val="003A4420"/>
    <w:rsid w:val="003A498B"/>
    <w:rsid w:val="003B03F9"/>
    <w:rsid w:val="003B1953"/>
    <w:rsid w:val="003B2CAD"/>
    <w:rsid w:val="003B3490"/>
    <w:rsid w:val="003B6F99"/>
    <w:rsid w:val="003B757E"/>
    <w:rsid w:val="003B75D7"/>
    <w:rsid w:val="003C06F5"/>
    <w:rsid w:val="003C1193"/>
    <w:rsid w:val="003C15FF"/>
    <w:rsid w:val="003C2901"/>
    <w:rsid w:val="003C2CF7"/>
    <w:rsid w:val="003C4431"/>
    <w:rsid w:val="003C665F"/>
    <w:rsid w:val="003C6BF2"/>
    <w:rsid w:val="003C7AAD"/>
    <w:rsid w:val="003D41C1"/>
    <w:rsid w:val="003D6751"/>
    <w:rsid w:val="003D675C"/>
    <w:rsid w:val="003D79B1"/>
    <w:rsid w:val="003E0E7C"/>
    <w:rsid w:val="003E125A"/>
    <w:rsid w:val="003E1E6C"/>
    <w:rsid w:val="003E3D1D"/>
    <w:rsid w:val="003E4015"/>
    <w:rsid w:val="003E50EE"/>
    <w:rsid w:val="003E5C79"/>
    <w:rsid w:val="003F080E"/>
    <w:rsid w:val="003F3A5E"/>
    <w:rsid w:val="003F3E8E"/>
    <w:rsid w:val="003F5F5E"/>
    <w:rsid w:val="00401CD0"/>
    <w:rsid w:val="004020A1"/>
    <w:rsid w:val="0040353A"/>
    <w:rsid w:val="0040401B"/>
    <w:rsid w:val="00411C17"/>
    <w:rsid w:val="00412A03"/>
    <w:rsid w:val="0042145E"/>
    <w:rsid w:val="00423008"/>
    <w:rsid w:val="00424B16"/>
    <w:rsid w:val="00427F90"/>
    <w:rsid w:val="00430981"/>
    <w:rsid w:val="00431FCD"/>
    <w:rsid w:val="00436048"/>
    <w:rsid w:val="004366F3"/>
    <w:rsid w:val="004372A9"/>
    <w:rsid w:val="0044167E"/>
    <w:rsid w:val="00442B42"/>
    <w:rsid w:val="00442C67"/>
    <w:rsid w:val="004455D0"/>
    <w:rsid w:val="004465B9"/>
    <w:rsid w:val="0045053E"/>
    <w:rsid w:val="0045405E"/>
    <w:rsid w:val="0045456F"/>
    <w:rsid w:val="00456FF9"/>
    <w:rsid w:val="0045750C"/>
    <w:rsid w:val="00461180"/>
    <w:rsid w:val="00465ABA"/>
    <w:rsid w:val="00466D8C"/>
    <w:rsid w:val="0046746D"/>
    <w:rsid w:val="004724DA"/>
    <w:rsid w:val="004728B4"/>
    <w:rsid w:val="00473B6A"/>
    <w:rsid w:val="004758B2"/>
    <w:rsid w:val="0048331D"/>
    <w:rsid w:val="00483E12"/>
    <w:rsid w:val="00484262"/>
    <w:rsid w:val="004878E1"/>
    <w:rsid w:val="004914D3"/>
    <w:rsid w:val="004919F6"/>
    <w:rsid w:val="00494118"/>
    <w:rsid w:val="00494E8D"/>
    <w:rsid w:val="00495649"/>
    <w:rsid w:val="00496DDB"/>
    <w:rsid w:val="004A4037"/>
    <w:rsid w:val="004A4EAB"/>
    <w:rsid w:val="004A5015"/>
    <w:rsid w:val="004A51FC"/>
    <w:rsid w:val="004A6DAF"/>
    <w:rsid w:val="004B0798"/>
    <w:rsid w:val="004B22BC"/>
    <w:rsid w:val="004B36F1"/>
    <w:rsid w:val="004B77D3"/>
    <w:rsid w:val="004C1805"/>
    <w:rsid w:val="004C3DCC"/>
    <w:rsid w:val="004C5C13"/>
    <w:rsid w:val="004C6CF1"/>
    <w:rsid w:val="004C7D7E"/>
    <w:rsid w:val="004D0FB6"/>
    <w:rsid w:val="004D1509"/>
    <w:rsid w:val="004D4700"/>
    <w:rsid w:val="004D4C62"/>
    <w:rsid w:val="004D4E6C"/>
    <w:rsid w:val="004D5B82"/>
    <w:rsid w:val="004D6095"/>
    <w:rsid w:val="004E13DD"/>
    <w:rsid w:val="004E1855"/>
    <w:rsid w:val="004F1DD0"/>
    <w:rsid w:val="004F1DD5"/>
    <w:rsid w:val="004F1E14"/>
    <w:rsid w:val="004F3710"/>
    <w:rsid w:val="004F5B59"/>
    <w:rsid w:val="005137E7"/>
    <w:rsid w:val="005162E0"/>
    <w:rsid w:val="0052040E"/>
    <w:rsid w:val="0053284D"/>
    <w:rsid w:val="0053577E"/>
    <w:rsid w:val="00536131"/>
    <w:rsid w:val="005362CB"/>
    <w:rsid w:val="0053719D"/>
    <w:rsid w:val="00541DB6"/>
    <w:rsid w:val="00544DA0"/>
    <w:rsid w:val="005507C5"/>
    <w:rsid w:val="0055172A"/>
    <w:rsid w:val="005547E5"/>
    <w:rsid w:val="005643BF"/>
    <w:rsid w:val="00564B67"/>
    <w:rsid w:val="00571C14"/>
    <w:rsid w:val="0057738F"/>
    <w:rsid w:val="005809A2"/>
    <w:rsid w:val="00580EED"/>
    <w:rsid w:val="005838E6"/>
    <w:rsid w:val="005913C1"/>
    <w:rsid w:val="005925A2"/>
    <w:rsid w:val="00594602"/>
    <w:rsid w:val="00594B38"/>
    <w:rsid w:val="0059602C"/>
    <w:rsid w:val="005A3A2B"/>
    <w:rsid w:val="005A48D6"/>
    <w:rsid w:val="005A6ED3"/>
    <w:rsid w:val="005B02A7"/>
    <w:rsid w:val="005B29F8"/>
    <w:rsid w:val="005B416F"/>
    <w:rsid w:val="005B7800"/>
    <w:rsid w:val="005C065E"/>
    <w:rsid w:val="005C0859"/>
    <w:rsid w:val="005C0B56"/>
    <w:rsid w:val="005C131B"/>
    <w:rsid w:val="005C1B83"/>
    <w:rsid w:val="005C22C9"/>
    <w:rsid w:val="005C2B2B"/>
    <w:rsid w:val="005C591E"/>
    <w:rsid w:val="005D3127"/>
    <w:rsid w:val="005D60FD"/>
    <w:rsid w:val="005E6784"/>
    <w:rsid w:val="005F2B4F"/>
    <w:rsid w:val="005F2C46"/>
    <w:rsid w:val="005F38E5"/>
    <w:rsid w:val="005F7429"/>
    <w:rsid w:val="00605B3D"/>
    <w:rsid w:val="00605D13"/>
    <w:rsid w:val="00606788"/>
    <w:rsid w:val="006073D5"/>
    <w:rsid w:val="00610F04"/>
    <w:rsid w:val="006114D2"/>
    <w:rsid w:val="00612358"/>
    <w:rsid w:val="00614924"/>
    <w:rsid w:val="00614A5F"/>
    <w:rsid w:val="00615B8B"/>
    <w:rsid w:val="006164C4"/>
    <w:rsid w:val="006179AB"/>
    <w:rsid w:val="00620FE2"/>
    <w:rsid w:val="006237B0"/>
    <w:rsid w:val="0062423C"/>
    <w:rsid w:val="0062479A"/>
    <w:rsid w:val="00635368"/>
    <w:rsid w:val="006406CC"/>
    <w:rsid w:val="00640BB1"/>
    <w:rsid w:val="00641368"/>
    <w:rsid w:val="00642937"/>
    <w:rsid w:val="0064694C"/>
    <w:rsid w:val="00646E56"/>
    <w:rsid w:val="0065141B"/>
    <w:rsid w:val="0065157A"/>
    <w:rsid w:val="00652017"/>
    <w:rsid w:val="00653B1A"/>
    <w:rsid w:val="00654007"/>
    <w:rsid w:val="006565AB"/>
    <w:rsid w:val="006640D0"/>
    <w:rsid w:val="006642C6"/>
    <w:rsid w:val="00665087"/>
    <w:rsid w:val="00665DE1"/>
    <w:rsid w:val="00671116"/>
    <w:rsid w:val="00673045"/>
    <w:rsid w:val="00675A96"/>
    <w:rsid w:val="00676F1A"/>
    <w:rsid w:val="00677095"/>
    <w:rsid w:val="00680EE7"/>
    <w:rsid w:val="00681F36"/>
    <w:rsid w:val="00682E4C"/>
    <w:rsid w:val="0068524E"/>
    <w:rsid w:val="0069109D"/>
    <w:rsid w:val="0069230D"/>
    <w:rsid w:val="0069307A"/>
    <w:rsid w:val="00693A68"/>
    <w:rsid w:val="006959CD"/>
    <w:rsid w:val="00695DAD"/>
    <w:rsid w:val="006A170B"/>
    <w:rsid w:val="006A55DE"/>
    <w:rsid w:val="006A7C92"/>
    <w:rsid w:val="006B0698"/>
    <w:rsid w:val="006B4389"/>
    <w:rsid w:val="006B59AA"/>
    <w:rsid w:val="006B59C4"/>
    <w:rsid w:val="006B5C4F"/>
    <w:rsid w:val="006B7E3A"/>
    <w:rsid w:val="006C08D8"/>
    <w:rsid w:val="006C3D09"/>
    <w:rsid w:val="006C4ED1"/>
    <w:rsid w:val="006C6506"/>
    <w:rsid w:val="006C68A7"/>
    <w:rsid w:val="006D04B5"/>
    <w:rsid w:val="006D11D4"/>
    <w:rsid w:val="006D5D7B"/>
    <w:rsid w:val="006D6216"/>
    <w:rsid w:val="006E3368"/>
    <w:rsid w:val="006E5E17"/>
    <w:rsid w:val="006F036F"/>
    <w:rsid w:val="006F126E"/>
    <w:rsid w:val="006F263E"/>
    <w:rsid w:val="006F2AF7"/>
    <w:rsid w:val="006F32C0"/>
    <w:rsid w:val="006F64F3"/>
    <w:rsid w:val="006F70AC"/>
    <w:rsid w:val="006F765F"/>
    <w:rsid w:val="00700A7D"/>
    <w:rsid w:val="00700F45"/>
    <w:rsid w:val="00703610"/>
    <w:rsid w:val="00705854"/>
    <w:rsid w:val="00705B34"/>
    <w:rsid w:val="00706019"/>
    <w:rsid w:val="00707577"/>
    <w:rsid w:val="00707595"/>
    <w:rsid w:val="00707BFC"/>
    <w:rsid w:val="00713692"/>
    <w:rsid w:val="00715396"/>
    <w:rsid w:val="0071635B"/>
    <w:rsid w:val="007215A7"/>
    <w:rsid w:val="00723DA3"/>
    <w:rsid w:val="00725E79"/>
    <w:rsid w:val="00730F4F"/>
    <w:rsid w:val="00731B00"/>
    <w:rsid w:val="00732FEF"/>
    <w:rsid w:val="00733D00"/>
    <w:rsid w:val="007340E8"/>
    <w:rsid w:val="0073594F"/>
    <w:rsid w:val="00736235"/>
    <w:rsid w:val="0073734A"/>
    <w:rsid w:val="00737B73"/>
    <w:rsid w:val="00741B13"/>
    <w:rsid w:val="00743069"/>
    <w:rsid w:val="0074750B"/>
    <w:rsid w:val="00747A2F"/>
    <w:rsid w:val="0075522C"/>
    <w:rsid w:val="007555EC"/>
    <w:rsid w:val="00757F62"/>
    <w:rsid w:val="007618F6"/>
    <w:rsid w:val="007637E5"/>
    <w:rsid w:val="007661B2"/>
    <w:rsid w:val="00766F02"/>
    <w:rsid w:val="00774F94"/>
    <w:rsid w:val="0078251D"/>
    <w:rsid w:val="00783027"/>
    <w:rsid w:val="00784C0D"/>
    <w:rsid w:val="007855C3"/>
    <w:rsid w:val="007868E7"/>
    <w:rsid w:val="0079452E"/>
    <w:rsid w:val="00794B63"/>
    <w:rsid w:val="00794F59"/>
    <w:rsid w:val="007A066A"/>
    <w:rsid w:val="007A492D"/>
    <w:rsid w:val="007A54D2"/>
    <w:rsid w:val="007A7419"/>
    <w:rsid w:val="007A7931"/>
    <w:rsid w:val="007B2BC9"/>
    <w:rsid w:val="007B6BDB"/>
    <w:rsid w:val="007C00DA"/>
    <w:rsid w:val="007C0F0C"/>
    <w:rsid w:val="007C11C7"/>
    <w:rsid w:val="007C2DD3"/>
    <w:rsid w:val="007C31CC"/>
    <w:rsid w:val="007C33D9"/>
    <w:rsid w:val="007C628B"/>
    <w:rsid w:val="007C78C6"/>
    <w:rsid w:val="007C7C13"/>
    <w:rsid w:val="007D503B"/>
    <w:rsid w:val="007D700D"/>
    <w:rsid w:val="007E1983"/>
    <w:rsid w:val="007E1C76"/>
    <w:rsid w:val="007E5666"/>
    <w:rsid w:val="007F09F2"/>
    <w:rsid w:val="007F24D8"/>
    <w:rsid w:val="007F5415"/>
    <w:rsid w:val="00802A4E"/>
    <w:rsid w:val="00805528"/>
    <w:rsid w:val="00806500"/>
    <w:rsid w:val="00812ADC"/>
    <w:rsid w:val="00813395"/>
    <w:rsid w:val="0082110A"/>
    <w:rsid w:val="008226C7"/>
    <w:rsid w:val="00826386"/>
    <w:rsid w:val="00826C3C"/>
    <w:rsid w:val="00826F24"/>
    <w:rsid w:val="008331E6"/>
    <w:rsid w:val="008338C0"/>
    <w:rsid w:val="008370BD"/>
    <w:rsid w:val="00841481"/>
    <w:rsid w:val="00841C69"/>
    <w:rsid w:val="008426E8"/>
    <w:rsid w:val="00842ABC"/>
    <w:rsid w:val="00843878"/>
    <w:rsid w:val="0084388B"/>
    <w:rsid w:val="00845DE6"/>
    <w:rsid w:val="00847E2E"/>
    <w:rsid w:val="00850703"/>
    <w:rsid w:val="00851F9A"/>
    <w:rsid w:val="00853ADE"/>
    <w:rsid w:val="00857DA3"/>
    <w:rsid w:val="008611E6"/>
    <w:rsid w:val="008617B7"/>
    <w:rsid w:val="00865492"/>
    <w:rsid w:val="00866351"/>
    <w:rsid w:val="00870237"/>
    <w:rsid w:val="00870353"/>
    <w:rsid w:val="00870EC5"/>
    <w:rsid w:val="00871A99"/>
    <w:rsid w:val="00874C7F"/>
    <w:rsid w:val="0087602A"/>
    <w:rsid w:val="0087693B"/>
    <w:rsid w:val="008770DF"/>
    <w:rsid w:val="00877359"/>
    <w:rsid w:val="008833AD"/>
    <w:rsid w:val="0088580B"/>
    <w:rsid w:val="008878DD"/>
    <w:rsid w:val="00890C58"/>
    <w:rsid w:val="00895DB2"/>
    <w:rsid w:val="008960E0"/>
    <w:rsid w:val="008A0CF8"/>
    <w:rsid w:val="008A32BE"/>
    <w:rsid w:val="008A32E1"/>
    <w:rsid w:val="008B09C3"/>
    <w:rsid w:val="008B56DA"/>
    <w:rsid w:val="008B5C54"/>
    <w:rsid w:val="008C12D0"/>
    <w:rsid w:val="008C147B"/>
    <w:rsid w:val="008C3D3C"/>
    <w:rsid w:val="008C596A"/>
    <w:rsid w:val="008C6941"/>
    <w:rsid w:val="008D07EE"/>
    <w:rsid w:val="008D1C3E"/>
    <w:rsid w:val="008D6B2B"/>
    <w:rsid w:val="008E32C2"/>
    <w:rsid w:val="008E3486"/>
    <w:rsid w:val="008E43CE"/>
    <w:rsid w:val="008E650B"/>
    <w:rsid w:val="008E6759"/>
    <w:rsid w:val="008E740B"/>
    <w:rsid w:val="008F1706"/>
    <w:rsid w:val="008F3BFA"/>
    <w:rsid w:val="008F4410"/>
    <w:rsid w:val="008F6C1E"/>
    <w:rsid w:val="009020BA"/>
    <w:rsid w:val="009051B4"/>
    <w:rsid w:val="009075CB"/>
    <w:rsid w:val="00913C6E"/>
    <w:rsid w:val="00921BFA"/>
    <w:rsid w:val="009246ED"/>
    <w:rsid w:val="00927B8B"/>
    <w:rsid w:val="00933222"/>
    <w:rsid w:val="009369E2"/>
    <w:rsid w:val="009411EF"/>
    <w:rsid w:val="009445C8"/>
    <w:rsid w:val="00954E62"/>
    <w:rsid w:val="0095566D"/>
    <w:rsid w:val="009620ED"/>
    <w:rsid w:val="009632D1"/>
    <w:rsid w:val="00965FB8"/>
    <w:rsid w:val="00966395"/>
    <w:rsid w:val="009676F6"/>
    <w:rsid w:val="00970D55"/>
    <w:rsid w:val="00971265"/>
    <w:rsid w:val="00971B21"/>
    <w:rsid w:val="009720E2"/>
    <w:rsid w:val="009725A1"/>
    <w:rsid w:val="00972E3E"/>
    <w:rsid w:val="00972E5E"/>
    <w:rsid w:val="00973ACD"/>
    <w:rsid w:val="00974551"/>
    <w:rsid w:val="00974686"/>
    <w:rsid w:val="009778DB"/>
    <w:rsid w:val="009803B7"/>
    <w:rsid w:val="009814F5"/>
    <w:rsid w:val="00983D83"/>
    <w:rsid w:val="00984E5C"/>
    <w:rsid w:val="00986069"/>
    <w:rsid w:val="00987F6B"/>
    <w:rsid w:val="0099288D"/>
    <w:rsid w:val="00995107"/>
    <w:rsid w:val="009956B1"/>
    <w:rsid w:val="00996527"/>
    <w:rsid w:val="00997151"/>
    <w:rsid w:val="009A00B3"/>
    <w:rsid w:val="009A0DEC"/>
    <w:rsid w:val="009A3D86"/>
    <w:rsid w:val="009A481A"/>
    <w:rsid w:val="009B02D8"/>
    <w:rsid w:val="009B5604"/>
    <w:rsid w:val="009B5AB4"/>
    <w:rsid w:val="009C0CB9"/>
    <w:rsid w:val="009C113D"/>
    <w:rsid w:val="009C412E"/>
    <w:rsid w:val="009C4353"/>
    <w:rsid w:val="009C63AB"/>
    <w:rsid w:val="009C641F"/>
    <w:rsid w:val="009C689C"/>
    <w:rsid w:val="009D0873"/>
    <w:rsid w:val="009D6955"/>
    <w:rsid w:val="009D6F4A"/>
    <w:rsid w:val="009D7131"/>
    <w:rsid w:val="009E3830"/>
    <w:rsid w:val="009E71D5"/>
    <w:rsid w:val="009E7CB7"/>
    <w:rsid w:val="009F09D7"/>
    <w:rsid w:val="009F0DE7"/>
    <w:rsid w:val="009F24A0"/>
    <w:rsid w:val="009F39E4"/>
    <w:rsid w:val="009F521E"/>
    <w:rsid w:val="009F7372"/>
    <w:rsid w:val="009F7B50"/>
    <w:rsid w:val="00A00A4F"/>
    <w:rsid w:val="00A0771D"/>
    <w:rsid w:val="00A12E2B"/>
    <w:rsid w:val="00A15E87"/>
    <w:rsid w:val="00A16636"/>
    <w:rsid w:val="00A24AD5"/>
    <w:rsid w:val="00A26968"/>
    <w:rsid w:val="00A26A0C"/>
    <w:rsid w:val="00A27587"/>
    <w:rsid w:val="00A2795D"/>
    <w:rsid w:val="00A3085C"/>
    <w:rsid w:val="00A3087F"/>
    <w:rsid w:val="00A323C5"/>
    <w:rsid w:val="00A334CA"/>
    <w:rsid w:val="00A35804"/>
    <w:rsid w:val="00A362CF"/>
    <w:rsid w:val="00A42F3C"/>
    <w:rsid w:val="00A43925"/>
    <w:rsid w:val="00A44F2F"/>
    <w:rsid w:val="00A45C7A"/>
    <w:rsid w:val="00A46CEA"/>
    <w:rsid w:val="00A50220"/>
    <w:rsid w:val="00A50290"/>
    <w:rsid w:val="00A51440"/>
    <w:rsid w:val="00A51F06"/>
    <w:rsid w:val="00A54A9D"/>
    <w:rsid w:val="00A54BC9"/>
    <w:rsid w:val="00A57C98"/>
    <w:rsid w:val="00A57F63"/>
    <w:rsid w:val="00A63D66"/>
    <w:rsid w:val="00A64A42"/>
    <w:rsid w:val="00A64B39"/>
    <w:rsid w:val="00A65FB7"/>
    <w:rsid w:val="00A700DA"/>
    <w:rsid w:val="00A728B7"/>
    <w:rsid w:val="00A83F30"/>
    <w:rsid w:val="00A84349"/>
    <w:rsid w:val="00A8462B"/>
    <w:rsid w:val="00A84830"/>
    <w:rsid w:val="00A9007C"/>
    <w:rsid w:val="00A91D34"/>
    <w:rsid w:val="00A92694"/>
    <w:rsid w:val="00A92823"/>
    <w:rsid w:val="00A93E95"/>
    <w:rsid w:val="00A960CB"/>
    <w:rsid w:val="00A97331"/>
    <w:rsid w:val="00AA0FFA"/>
    <w:rsid w:val="00AA122D"/>
    <w:rsid w:val="00AA1D4E"/>
    <w:rsid w:val="00AA298E"/>
    <w:rsid w:val="00AA4649"/>
    <w:rsid w:val="00AA4C4D"/>
    <w:rsid w:val="00AA76E7"/>
    <w:rsid w:val="00AB2A48"/>
    <w:rsid w:val="00AB40A2"/>
    <w:rsid w:val="00AB692A"/>
    <w:rsid w:val="00AC0E35"/>
    <w:rsid w:val="00AC1268"/>
    <w:rsid w:val="00AC24CC"/>
    <w:rsid w:val="00AC5783"/>
    <w:rsid w:val="00AD09B2"/>
    <w:rsid w:val="00AD1884"/>
    <w:rsid w:val="00AD482F"/>
    <w:rsid w:val="00AD5114"/>
    <w:rsid w:val="00AD5C64"/>
    <w:rsid w:val="00AE1041"/>
    <w:rsid w:val="00AE28B9"/>
    <w:rsid w:val="00AE2C1F"/>
    <w:rsid w:val="00AE3AA0"/>
    <w:rsid w:val="00AE4054"/>
    <w:rsid w:val="00AE47A8"/>
    <w:rsid w:val="00AE5144"/>
    <w:rsid w:val="00AE66B5"/>
    <w:rsid w:val="00AE6A06"/>
    <w:rsid w:val="00AF012E"/>
    <w:rsid w:val="00AF0742"/>
    <w:rsid w:val="00AF12FA"/>
    <w:rsid w:val="00AF3526"/>
    <w:rsid w:val="00AF4727"/>
    <w:rsid w:val="00AF642D"/>
    <w:rsid w:val="00B03B25"/>
    <w:rsid w:val="00B0465A"/>
    <w:rsid w:val="00B046DD"/>
    <w:rsid w:val="00B05A47"/>
    <w:rsid w:val="00B107F7"/>
    <w:rsid w:val="00B116D0"/>
    <w:rsid w:val="00B131BE"/>
    <w:rsid w:val="00B138CE"/>
    <w:rsid w:val="00B178BA"/>
    <w:rsid w:val="00B22641"/>
    <w:rsid w:val="00B244E3"/>
    <w:rsid w:val="00B24C42"/>
    <w:rsid w:val="00B26477"/>
    <w:rsid w:val="00B305AD"/>
    <w:rsid w:val="00B32984"/>
    <w:rsid w:val="00B329A5"/>
    <w:rsid w:val="00B337EC"/>
    <w:rsid w:val="00B35561"/>
    <w:rsid w:val="00B36913"/>
    <w:rsid w:val="00B369F2"/>
    <w:rsid w:val="00B37551"/>
    <w:rsid w:val="00B410DE"/>
    <w:rsid w:val="00B419CD"/>
    <w:rsid w:val="00B45928"/>
    <w:rsid w:val="00B51173"/>
    <w:rsid w:val="00B5173F"/>
    <w:rsid w:val="00B52A5E"/>
    <w:rsid w:val="00B53362"/>
    <w:rsid w:val="00B53834"/>
    <w:rsid w:val="00B542CE"/>
    <w:rsid w:val="00B54CEC"/>
    <w:rsid w:val="00B570C9"/>
    <w:rsid w:val="00B57BC8"/>
    <w:rsid w:val="00B630CC"/>
    <w:rsid w:val="00B64037"/>
    <w:rsid w:val="00B653E2"/>
    <w:rsid w:val="00B6671A"/>
    <w:rsid w:val="00B673D8"/>
    <w:rsid w:val="00B70DDC"/>
    <w:rsid w:val="00B71941"/>
    <w:rsid w:val="00B72200"/>
    <w:rsid w:val="00B7320E"/>
    <w:rsid w:val="00B771AA"/>
    <w:rsid w:val="00B77960"/>
    <w:rsid w:val="00B803F5"/>
    <w:rsid w:val="00B814FE"/>
    <w:rsid w:val="00B8175F"/>
    <w:rsid w:val="00B81FA7"/>
    <w:rsid w:val="00B87F6E"/>
    <w:rsid w:val="00B91A3A"/>
    <w:rsid w:val="00B92029"/>
    <w:rsid w:val="00B9338E"/>
    <w:rsid w:val="00B93CEC"/>
    <w:rsid w:val="00B93EF5"/>
    <w:rsid w:val="00B951F0"/>
    <w:rsid w:val="00B952DE"/>
    <w:rsid w:val="00BA2E52"/>
    <w:rsid w:val="00BA6456"/>
    <w:rsid w:val="00BB083C"/>
    <w:rsid w:val="00BB1C9F"/>
    <w:rsid w:val="00BB1E51"/>
    <w:rsid w:val="00BB4519"/>
    <w:rsid w:val="00BB785B"/>
    <w:rsid w:val="00BC06FD"/>
    <w:rsid w:val="00BC102B"/>
    <w:rsid w:val="00BC2657"/>
    <w:rsid w:val="00BC2BEE"/>
    <w:rsid w:val="00BC4883"/>
    <w:rsid w:val="00BD1445"/>
    <w:rsid w:val="00BD40D6"/>
    <w:rsid w:val="00BD5A18"/>
    <w:rsid w:val="00BD71EF"/>
    <w:rsid w:val="00BD7584"/>
    <w:rsid w:val="00BE350A"/>
    <w:rsid w:val="00BE35A0"/>
    <w:rsid w:val="00BF5DB0"/>
    <w:rsid w:val="00BF68FF"/>
    <w:rsid w:val="00BF7F97"/>
    <w:rsid w:val="00C01AA7"/>
    <w:rsid w:val="00C01AE7"/>
    <w:rsid w:val="00C1130F"/>
    <w:rsid w:val="00C12587"/>
    <w:rsid w:val="00C13A73"/>
    <w:rsid w:val="00C15E77"/>
    <w:rsid w:val="00C20598"/>
    <w:rsid w:val="00C20E87"/>
    <w:rsid w:val="00C229F0"/>
    <w:rsid w:val="00C22AFF"/>
    <w:rsid w:val="00C23045"/>
    <w:rsid w:val="00C2423D"/>
    <w:rsid w:val="00C250AE"/>
    <w:rsid w:val="00C26BCE"/>
    <w:rsid w:val="00C27753"/>
    <w:rsid w:val="00C309C2"/>
    <w:rsid w:val="00C31F3B"/>
    <w:rsid w:val="00C35C2E"/>
    <w:rsid w:val="00C41281"/>
    <w:rsid w:val="00C41B5F"/>
    <w:rsid w:val="00C4223F"/>
    <w:rsid w:val="00C45D4C"/>
    <w:rsid w:val="00C5294E"/>
    <w:rsid w:val="00C53872"/>
    <w:rsid w:val="00C54C3A"/>
    <w:rsid w:val="00C54F9F"/>
    <w:rsid w:val="00C56289"/>
    <w:rsid w:val="00C60920"/>
    <w:rsid w:val="00C615C4"/>
    <w:rsid w:val="00C628AD"/>
    <w:rsid w:val="00C64C48"/>
    <w:rsid w:val="00C65102"/>
    <w:rsid w:val="00C67C22"/>
    <w:rsid w:val="00C703DC"/>
    <w:rsid w:val="00C71348"/>
    <w:rsid w:val="00C72E61"/>
    <w:rsid w:val="00C83F24"/>
    <w:rsid w:val="00C861D1"/>
    <w:rsid w:val="00C862DA"/>
    <w:rsid w:val="00C87ACB"/>
    <w:rsid w:val="00C92AB7"/>
    <w:rsid w:val="00C93C4A"/>
    <w:rsid w:val="00C93F0D"/>
    <w:rsid w:val="00C94AEC"/>
    <w:rsid w:val="00C95258"/>
    <w:rsid w:val="00C953E7"/>
    <w:rsid w:val="00CA52C9"/>
    <w:rsid w:val="00CB0FF4"/>
    <w:rsid w:val="00CB1786"/>
    <w:rsid w:val="00CB2C40"/>
    <w:rsid w:val="00CB5B81"/>
    <w:rsid w:val="00CB5DB1"/>
    <w:rsid w:val="00CB628C"/>
    <w:rsid w:val="00CC1143"/>
    <w:rsid w:val="00CC2587"/>
    <w:rsid w:val="00CC3283"/>
    <w:rsid w:val="00CD04AA"/>
    <w:rsid w:val="00CD059D"/>
    <w:rsid w:val="00CD2DEF"/>
    <w:rsid w:val="00CD2E60"/>
    <w:rsid w:val="00CD75C4"/>
    <w:rsid w:val="00CE087C"/>
    <w:rsid w:val="00CE4D1D"/>
    <w:rsid w:val="00CE79B8"/>
    <w:rsid w:val="00CF2DD5"/>
    <w:rsid w:val="00CF30C1"/>
    <w:rsid w:val="00CF4DB9"/>
    <w:rsid w:val="00CF759E"/>
    <w:rsid w:val="00D00F79"/>
    <w:rsid w:val="00D0592B"/>
    <w:rsid w:val="00D05997"/>
    <w:rsid w:val="00D05DA7"/>
    <w:rsid w:val="00D06025"/>
    <w:rsid w:val="00D06FF6"/>
    <w:rsid w:val="00D079C7"/>
    <w:rsid w:val="00D113E4"/>
    <w:rsid w:val="00D13B89"/>
    <w:rsid w:val="00D140BA"/>
    <w:rsid w:val="00D211F3"/>
    <w:rsid w:val="00D225DE"/>
    <w:rsid w:val="00D27804"/>
    <w:rsid w:val="00D307B7"/>
    <w:rsid w:val="00D324E9"/>
    <w:rsid w:val="00D32F53"/>
    <w:rsid w:val="00D40331"/>
    <w:rsid w:val="00D4328F"/>
    <w:rsid w:val="00D46574"/>
    <w:rsid w:val="00D5195D"/>
    <w:rsid w:val="00D52536"/>
    <w:rsid w:val="00D53F58"/>
    <w:rsid w:val="00D5461C"/>
    <w:rsid w:val="00D559A8"/>
    <w:rsid w:val="00D60F4B"/>
    <w:rsid w:val="00D654BC"/>
    <w:rsid w:val="00D66779"/>
    <w:rsid w:val="00D71086"/>
    <w:rsid w:val="00D71A95"/>
    <w:rsid w:val="00D71D7C"/>
    <w:rsid w:val="00D742C4"/>
    <w:rsid w:val="00D7517B"/>
    <w:rsid w:val="00D7572A"/>
    <w:rsid w:val="00D81979"/>
    <w:rsid w:val="00D8203F"/>
    <w:rsid w:val="00D83909"/>
    <w:rsid w:val="00D84F7F"/>
    <w:rsid w:val="00D85928"/>
    <w:rsid w:val="00D86C59"/>
    <w:rsid w:val="00D86F80"/>
    <w:rsid w:val="00D92C99"/>
    <w:rsid w:val="00D94022"/>
    <w:rsid w:val="00D940E9"/>
    <w:rsid w:val="00DA0D28"/>
    <w:rsid w:val="00DA108B"/>
    <w:rsid w:val="00DA1756"/>
    <w:rsid w:val="00DA2432"/>
    <w:rsid w:val="00DA243C"/>
    <w:rsid w:val="00DA353C"/>
    <w:rsid w:val="00DA41F1"/>
    <w:rsid w:val="00DA6DB0"/>
    <w:rsid w:val="00DB0432"/>
    <w:rsid w:val="00DB109A"/>
    <w:rsid w:val="00DB2B8E"/>
    <w:rsid w:val="00DB3654"/>
    <w:rsid w:val="00DB615A"/>
    <w:rsid w:val="00DB6199"/>
    <w:rsid w:val="00DC0CC7"/>
    <w:rsid w:val="00DC126F"/>
    <w:rsid w:val="00DC3161"/>
    <w:rsid w:val="00DC4465"/>
    <w:rsid w:val="00DC5857"/>
    <w:rsid w:val="00DC5E76"/>
    <w:rsid w:val="00DC7C52"/>
    <w:rsid w:val="00DD3CE0"/>
    <w:rsid w:val="00DD411E"/>
    <w:rsid w:val="00DD4185"/>
    <w:rsid w:val="00DD624F"/>
    <w:rsid w:val="00DD772E"/>
    <w:rsid w:val="00DD7BC1"/>
    <w:rsid w:val="00DE05DE"/>
    <w:rsid w:val="00DE0EE1"/>
    <w:rsid w:val="00DE235D"/>
    <w:rsid w:val="00DF02E2"/>
    <w:rsid w:val="00DF3F02"/>
    <w:rsid w:val="00DF40A7"/>
    <w:rsid w:val="00DF5079"/>
    <w:rsid w:val="00DF5F8A"/>
    <w:rsid w:val="00DF6DBA"/>
    <w:rsid w:val="00DF7080"/>
    <w:rsid w:val="00DF7A9E"/>
    <w:rsid w:val="00E00794"/>
    <w:rsid w:val="00E02FA8"/>
    <w:rsid w:val="00E0422C"/>
    <w:rsid w:val="00E048C5"/>
    <w:rsid w:val="00E057D6"/>
    <w:rsid w:val="00E07EC9"/>
    <w:rsid w:val="00E13183"/>
    <w:rsid w:val="00E142F3"/>
    <w:rsid w:val="00E15F37"/>
    <w:rsid w:val="00E162A4"/>
    <w:rsid w:val="00E17A22"/>
    <w:rsid w:val="00E17A4F"/>
    <w:rsid w:val="00E239B5"/>
    <w:rsid w:val="00E2458E"/>
    <w:rsid w:val="00E25205"/>
    <w:rsid w:val="00E273FB"/>
    <w:rsid w:val="00E27552"/>
    <w:rsid w:val="00E27B96"/>
    <w:rsid w:val="00E31346"/>
    <w:rsid w:val="00E32709"/>
    <w:rsid w:val="00E33AF7"/>
    <w:rsid w:val="00E344E1"/>
    <w:rsid w:val="00E34EBF"/>
    <w:rsid w:val="00E35012"/>
    <w:rsid w:val="00E40EEB"/>
    <w:rsid w:val="00E414D7"/>
    <w:rsid w:val="00E41AEA"/>
    <w:rsid w:val="00E4218F"/>
    <w:rsid w:val="00E42CF5"/>
    <w:rsid w:val="00E43940"/>
    <w:rsid w:val="00E46099"/>
    <w:rsid w:val="00E51E53"/>
    <w:rsid w:val="00E556D0"/>
    <w:rsid w:val="00E563CB"/>
    <w:rsid w:val="00E571CA"/>
    <w:rsid w:val="00E629BD"/>
    <w:rsid w:val="00E63C2C"/>
    <w:rsid w:val="00E6494E"/>
    <w:rsid w:val="00E66C4B"/>
    <w:rsid w:val="00E70761"/>
    <w:rsid w:val="00E71404"/>
    <w:rsid w:val="00E7285A"/>
    <w:rsid w:val="00E749D8"/>
    <w:rsid w:val="00E81E4C"/>
    <w:rsid w:val="00E832A9"/>
    <w:rsid w:val="00E879FD"/>
    <w:rsid w:val="00E91A1F"/>
    <w:rsid w:val="00E91A9F"/>
    <w:rsid w:val="00E92EEF"/>
    <w:rsid w:val="00E94A4E"/>
    <w:rsid w:val="00E96527"/>
    <w:rsid w:val="00EA0CA4"/>
    <w:rsid w:val="00EA1565"/>
    <w:rsid w:val="00EA2F0F"/>
    <w:rsid w:val="00EA59DC"/>
    <w:rsid w:val="00EA6195"/>
    <w:rsid w:val="00EA7B76"/>
    <w:rsid w:val="00EB1C33"/>
    <w:rsid w:val="00EB1DE8"/>
    <w:rsid w:val="00EB3A94"/>
    <w:rsid w:val="00EC0BAD"/>
    <w:rsid w:val="00EC0C04"/>
    <w:rsid w:val="00EC3B0B"/>
    <w:rsid w:val="00EC7AAE"/>
    <w:rsid w:val="00ED7FA5"/>
    <w:rsid w:val="00EE0062"/>
    <w:rsid w:val="00EE41DE"/>
    <w:rsid w:val="00EE53A5"/>
    <w:rsid w:val="00EE71E8"/>
    <w:rsid w:val="00EF3D79"/>
    <w:rsid w:val="00EF3EF8"/>
    <w:rsid w:val="00F00680"/>
    <w:rsid w:val="00F00929"/>
    <w:rsid w:val="00F02663"/>
    <w:rsid w:val="00F0796D"/>
    <w:rsid w:val="00F129A6"/>
    <w:rsid w:val="00F12A4A"/>
    <w:rsid w:val="00F12F35"/>
    <w:rsid w:val="00F13107"/>
    <w:rsid w:val="00F2123D"/>
    <w:rsid w:val="00F22225"/>
    <w:rsid w:val="00F2322A"/>
    <w:rsid w:val="00F26ACF"/>
    <w:rsid w:val="00F27050"/>
    <w:rsid w:val="00F31466"/>
    <w:rsid w:val="00F34883"/>
    <w:rsid w:val="00F403F4"/>
    <w:rsid w:val="00F40E6F"/>
    <w:rsid w:val="00F44108"/>
    <w:rsid w:val="00F4446F"/>
    <w:rsid w:val="00F47A98"/>
    <w:rsid w:val="00F52BCC"/>
    <w:rsid w:val="00F557A9"/>
    <w:rsid w:val="00F61186"/>
    <w:rsid w:val="00F62A25"/>
    <w:rsid w:val="00F6499A"/>
    <w:rsid w:val="00F659DA"/>
    <w:rsid w:val="00F65BCB"/>
    <w:rsid w:val="00F74685"/>
    <w:rsid w:val="00F76939"/>
    <w:rsid w:val="00F76A16"/>
    <w:rsid w:val="00F80556"/>
    <w:rsid w:val="00F81715"/>
    <w:rsid w:val="00F82E1F"/>
    <w:rsid w:val="00F849C5"/>
    <w:rsid w:val="00F84C0B"/>
    <w:rsid w:val="00F87A6F"/>
    <w:rsid w:val="00F9442F"/>
    <w:rsid w:val="00F958F9"/>
    <w:rsid w:val="00F96AAA"/>
    <w:rsid w:val="00FA061C"/>
    <w:rsid w:val="00FA3A96"/>
    <w:rsid w:val="00FA6AA2"/>
    <w:rsid w:val="00FB1AB6"/>
    <w:rsid w:val="00FB1D9E"/>
    <w:rsid w:val="00FB30CB"/>
    <w:rsid w:val="00FB33A2"/>
    <w:rsid w:val="00FB3439"/>
    <w:rsid w:val="00FB5D8A"/>
    <w:rsid w:val="00FC6F60"/>
    <w:rsid w:val="00FC7878"/>
    <w:rsid w:val="00FD011F"/>
    <w:rsid w:val="00FD08D8"/>
    <w:rsid w:val="00FD2B9C"/>
    <w:rsid w:val="00FD5A50"/>
    <w:rsid w:val="00FE4BFB"/>
    <w:rsid w:val="00FE7C0F"/>
    <w:rsid w:val="00FE7D64"/>
    <w:rsid w:val="00FF3FCD"/>
    <w:rsid w:val="00FF4763"/>
    <w:rsid w:val="00FF7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B0FEDA5"/>
  <w15:docId w15:val="{7CE36D13-7461-4AC3-BA3B-C4C35A2D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2DA"/>
    <w:pPr>
      <w:spacing w:before="120" w:after="120" w:line="240" w:lineRule="auto"/>
      <w:jc w:val="both"/>
    </w:pPr>
    <w:rPr>
      <w:rFonts w:cs="Arial"/>
      <w:sz w:val="24"/>
    </w:rPr>
  </w:style>
  <w:style w:type="paragraph" w:styleId="Heading1">
    <w:name w:val="heading 1"/>
    <w:basedOn w:val="ListParagraph"/>
    <w:next w:val="Normal"/>
    <w:link w:val="Heading1Char"/>
    <w:uiPriority w:val="9"/>
    <w:qFormat/>
    <w:rsid w:val="00C862DA"/>
    <w:pPr>
      <w:keepNext/>
      <w:numPr>
        <w:numId w:val="1"/>
      </w:numPr>
      <w:contextualSpacing w:val="0"/>
      <w:outlineLvl w:val="0"/>
    </w:pPr>
    <w:rPr>
      <w:b/>
      <w:sz w:val="32"/>
    </w:rPr>
  </w:style>
  <w:style w:type="paragraph" w:styleId="Heading2">
    <w:name w:val="heading 2"/>
    <w:basedOn w:val="Normal"/>
    <w:next w:val="Normal"/>
    <w:link w:val="Heading2Char"/>
    <w:uiPriority w:val="9"/>
    <w:unhideWhenUsed/>
    <w:qFormat/>
    <w:rsid w:val="00E81E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4DD"/>
    <w:pPr>
      <w:tabs>
        <w:tab w:val="center" w:pos="4513"/>
        <w:tab w:val="right" w:pos="9026"/>
      </w:tabs>
      <w:spacing w:after="0"/>
    </w:pPr>
  </w:style>
  <w:style w:type="character" w:customStyle="1" w:styleId="HeaderChar">
    <w:name w:val="Header Char"/>
    <w:basedOn w:val="DefaultParagraphFont"/>
    <w:link w:val="Header"/>
    <w:uiPriority w:val="99"/>
    <w:rsid w:val="001164DD"/>
  </w:style>
  <w:style w:type="paragraph" w:styleId="Footer">
    <w:name w:val="footer"/>
    <w:basedOn w:val="Normal"/>
    <w:link w:val="FooterChar"/>
    <w:uiPriority w:val="99"/>
    <w:unhideWhenUsed/>
    <w:rsid w:val="001164DD"/>
    <w:pPr>
      <w:tabs>
        <w:tab w:val="center" w:pos="4513"/>
        <w:tab w:val="right" w:pos="9026"/>
      </w:tabs>
      <w:spacing w:after="0"/>
    </w:pPr>
  </w:style>
  <w:style w:type="character" w:customStyle="1" w:styleId="FooterChar">
    <w:name w:val="Footer Char"/>
    <w:basedOn w:val="DefaultParagraphFont"/>
    <w:link w:val="Footer"/>
    <w:uiPriority w:val="99"/>
    <w:rsid w:val="001164DD"/>
  </w:style>
  <w:style w:type="paragraph" w:styleId="BalloonText">
    <w:name w:val="Balloon Text"/>
    <w:basedOn w:val="Normal"/>
    <w:link w:val="BalloonTextChar"/>
    <w:uiPriority w:val="99"/>
    <w:semiHidden/>
    <w:unhideWhenUsed/>
    <w:rsid w:val="001164D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4DD"/>
    <w:rPr>
      <w:rFonts w:ascii="Tahoma" w:hAnsi="Tahoma" w:cs="Tahoma"/>
      <w:sz w:val="16"/>
      <w:szCs w:val="16"/>
    </w:rPr>
  </w:style>
  <w:style w:type="paragraph" w:styleId="BodyText">
    <w:name w:val="Body Text"/>
    <w:basedOn w:val="Normal"/>
    <w:link w:val="BodyTextChar"/>
    <w:rsid w:val="004F3710"/>
    <w:pPr>
      <w:spacing w:after="0"/>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4F3710"/>
    <w:rPr>
      <w:rFonts w:ascii="Times New Roman" w:eastAsia="Times New Roman" w:hAnsi="Times New Roman" w:cs="Times New Roman"/>
      <w:color w:val="000000"/>
      <w:sz w:val="24"/>
      <w:szCs w:val="20"/>
    </w:rPr>
  </w:style>
  <w:style w:type="paragraph" w:styleId="ListParagraph">
    <w:name w:val="List Paragraph"/>
    <w:basedOn w:val="Normal"/>
    <w:uiPriority w:val="34"/>
    <w:qFormat/>
    <w:rsid w:val="00B673D8"/>
    <w:pPr>
      <w:ind w:left="720"/>
      <w:contextualSpacing/>
    </w:pPr>
  </w:style>
  <w:style w:type="character" w:customStyle="1" w:styleId="Heading2Char">
    <w:name w:val="Heading 2 Char"/>
    <w:basedOn w:val="DefaultParagraphFont"/>
    <w:link w:val="Heading2"/>
    <w:uiPriority w:val="9"/>
    <w:rsid w:val="00E81E4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5B416F"/>
    <w:pPr>
      <w:spacing w:before="100" w:beforeAutospacing="1" w:after="100" w:afterAutospacing="1"/>
    </w:pPr>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uiPriority w:val="9"/>
    <w:rsid w:val="00C862DA"/>
    <w:rPr>
      <w:rFonts w:cs="Arial"/>
      <w:b/>
      <w:sz w:val="32"/>
    </w:rPr>
  </w:style>
  <w:style w:type="paragraph" w:styleId="Title">
    <w:name w:val="Title"/>
    <w:basedOn w:val="Heading1"/>
    <w:next w:val="Normal"/>
    <w:link w:val="TitleChar"/>
    <w:qFormat/>
    <w:rsid w:val="00B673D8"/>
    <w:pPr>
      <w:numPr>
        <w:numId w:val="0"/>
      </w:numPr>
      <w:jc w:val="center"/>
    </w:pPr>
    <w:rPr>
      <w:sz w:val="28"/>
    </w:rPr>
  </w:style>
  <w:style w:type="character" w:customStyle="1" w:styleId="TitleChar">
    <w:name w:val="Title Char"/>
    <w:basedOn w:val="DefaultParagraphFont"/>
    <w:link w:val="Title"/>
    <w:rsid w:val="00B673D8"/>
    <w:rPr>
      <w:rFonts w:ascii="Arial" w:hAnsi="Arial" w:cs="Arial"/>
      <w:b/>
      <w:sz w:val="28"/>
    </w:rPr>
  </w:style>
  <w:style w:type="paragraph" w:styleId="Revision">
    <w:name w:val="Revision"/>
    <w:hidden/>
    <w:uiPriority w:val="99"/>
    <w:semiHidden/>
    <w:rsid w:val="009B5604"/>
    <w:pPr>
      <w:spacing w:after="0" w:line="240" w:lineRule="auto"/>
    </w:pPr>
    <w:rPr>
      <w:rFonts w:ascii="Arial" w:hAnsi="Arial" w:cs="Arial"/>
      <w:sz w:val="24"/>
    </w:rPr>
  </w:style>
  <w:style w:type="character" w:styleId="CommentReference">
    <w:name w:val="annotation reference"/>
    <w:basedOn w:val="DefaultParagraphFont"/>
    <w:uiPriority w:val="99"/>
    <w:semiHidden/>
    <w:unhideWhenUsed/>
    <w:rsid w:val="00802A4E"/>
    <w:rPr>
      <w:sz w:val="16"/>
      <w:szCs w:val="16"/>
    </w:rPr>
  </w:style>
  <w:style w:type="paragraph" w:styleId="CommentText">
    <w:name w:val="annotation text"/>
    <w:basedOn w:val="Normal"/>
    <w:link w:val="CommentTextChar"/>
    <w:uiPriority w:val="99"/>
    <w:semiHidden/>
    <w:unhideWhenUsed/>
    <w:rsid w:val="00802A4E"/>
    <w:rPr>
      <w:sz w:val="20"/>
      <w:szCs w:val="20"/>
    </w:rPr>
  </w:style>
  <w:style w:type="character" w:customStyle="1" w:styleId="CommentTextChar">
    <w:name w:val="Comment Text Char"/>
    <w:basedOn w:val="DefaultParagraphFont"/>
    <w:link w:val="CommentText"/>
    <w:uiPriority w:val="99"/>
    <w:semiHidden/>
    <w:rsid w:val="00802A4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02A4E"/>
    <w:rPr>
      <w:b/>
      <w:bCs/>
    </w:rPr>
  </w:style>
  <w:style w:type="character" w:customStyle="1" w:styleId="CommentSubjectChar">
    <w:name w:val="Comment Subject Char"/>
    <w:basedOn w:val="CommentTextChar"/>
    <w:link w:val="CommentSubject"/>
    <w:uiPriority w:val="99"/>
    <w:semiHidden/>
    <w:rsid w:val="00802A4E"/>
    <w:rPr>
      <w:rFonts w:ascii="Arial" w:hAnsi="Arial" w:cs="Arial"/>
      <w:b/>
      <w:bCs/>
      <w:sz w:val="20"/>
      <w:szCs w:val="20"/>
    </w:rPr>
  </w:style>
  <w:style w:type="character" w:styleId="Hyperlink">
    <w:name w:val="Hyperlink"/>
    <w:basedOn w:val="DefaultParagraphFont"/>
    <w:uiPriority w:val="99"/>
    <w:unhideWhenUsed/>
    <w:rsid w:val="00084285"/>
    <w:rPr>
      <w:color w:val="0000FF" w:themeColor="hyperlink"/>
      <w:u w:val="single"/>
    </w:rPr>
  </w:style>
  <w:style w:type="table" w:styleId="TableGrid">
    <w:name w:val="Table Grid"/>
    <w:basedOn w:val="TableNormal"/>
    <w:rsid w:val="00D05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14D3"/>
    <w:rPr>
      <w:color w:val="808080"/>
    </w:rPr>
  </w:style>
  <w:style w:type="paragraph" w:styleId="FootnoteText">
    <w:name w:val="footnote text"/>
    <w:basedOn w:val="Normal"/>
    <w:link w:val="FootnoteTextChar"/>
    <w:uiPriority w:val="99"/>
    <w:semiHidden/>
    <w:unhideWhenUsed/>
    <w:rsid w:val="00544DA0"/>
    <w:pPr>
      <w:spacing w:before="0" w:after="0"/>
    </w:pPr>
    <w:rPr>
      <w:sz w:val="20"/>
      <w:szCs w:val="20"/>
    </w:rPr>
  </w:style>
  <w:style w:type="character" w:customStyle="1" w:styleId="FootnoteTextChar">
    <w:name w:val="Footnote Text Char"/>
    <w:basedOn w:val="DefaultParagraphFont"/>
    <w:link w:val="FootnoteText"/>
    <w:uiPriority w:val="99"/>
    <w:semiHidden/>
    <w:rsid w:val="00544DA0"/>
    <w:rPr>
      <w:rFonts w:cs="Arial"/>
      <w:sz w:val="20"/>
      <w:szCs w:val="20"/>
    </w:rPr>
  </w:style>
  <w:style w:type="character" w:styleId="FootnoteReference">
    <w:name w:val="footnote reference"/>
    <w:basedOn w:val="DefaultParagraphFont"/>
    <w:uiPriority w:val="99"/>
    <w:semiHidden/>
    <w:unhideWhenUsed/>
    <w:rsid w:val="00544DA0"/>
    <w:rPr>
      <w:vertAlign w:val="superscript"/>
    </w:rPr>
  </w:style>
  <w:style w:type="paragraph" w:customStyle="1" w:styleId="Default">
    <w:name w:val="Default"/>
    <w:rsid w:val="0073623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9675">
      <w:bodyDiv w:val="1"/>
      <w:marLeft w:val="0"/>
      <w:marRight w:val="0"/>
      <w:marTop w:val="0"/>
      <w:marBottom w:val="0"/>
      <w:divBdr>
        <w:top w:val="none" w:sz="0" w:space="0" w:color="auto"/>
        <w:left w:val="none" w:sz="0" w:space="0" w:color="auto"/>
        <w:bottom w:val="none" w:sz="0" w:space="0" w:color="auto"/>
        <w:right w:val="none" w:sz="0" w:space="0" w:color="auto"/>
      </w:divBdr>
    </w:div>
    <w:div w:id="131991847">
      <w:bodyDiv w:val="1"/>
      <w:marLeft w:val="0"/>
      <w:marRight w:val="0"/>
      <w:marTop w:val="0"/>
      <w:marBottom w:val="0"/>
      <w:divBdr>
        <w:top w:val="none" w:sz="0" w:space="0" w:color="auto"/>
        <w:left w:val="none" w:sz="0" w:space="0" w:color="auto"/>
        <w:bottom w:val="none" w:sz="0" w:space="0" w:color="auto"/>
        <w:right w:val="none" w:sz="0" w:space="0" w:color="auto"/>
      </w:divBdr>
    </w:div>
    <w:div w:id="136073407">
      <w:bodyDiv w:val="1"/>
      <w:marLeft w:val="0"/>
      <w:marRight w:val="0"/>
      <w:marTop w:val="0"/>
      <w:marBottom w:val="0"/>
      <w:divBdr>
        <w:top w:val="none" w:sz="0" w:space="0" w:color="auto"/>
        <w:left w:val="none" w:sz="0" w:space="0" w:color="auto"/>
        <w:bottom w:val="none" w:sz="0" w:space="0" w:color="auto"/>
        <w:right w:val="none" w:sz="0" w:space="0" w:color="auto"/>
      </w:divBdr>
    </w:div>
    <w:div w:id="137920449">
      <w:bodyDiv w:val="1"/>
      <w:marLeft w:val="0"/>
      <w:marRight w:val="0"/>
      <w:marTop w:val="0"/>
      <w:marBottom w:val="0"/>
      <w:divBdr>
        <w:top w:val="none" w:sz="0" w:space="0" w:color="auto"/>
        <w:left w:val="none" w:sz="0" w:space="0" w:color="auto"/>
        <w:bottom w:val="none" w:sz="0" w:space="0" w:color="auto"/>
        <w:right w:val="none" w:sz="0" w:space="0" w:color="auto"/>
      </w:divBdr>
    </w:div>
    <w:div w:id="266039329">
      <w:bodyDiv w:val="1"/>
      <w:marLeft w:val="0"/>
      <w:marRight w:val="0"/>
      <w:marTop w:val="0"/>
      <w:marBottom w:val="0"/>
      <w:divBdr>
        <w:top w:val="none" w:sz="0" w:space="0" w:color="auto"/>
        <w:left w:val="none" w:sz="0" w:space="0" w:color="auto"/>
        <w:bottom w:val="none" w:sz="0" w:space="0" w:color="auto"/>
        <w:right w:val="none" w:sz="0" w:space="0" w:color="auto"/>
      </w:divBdr>
    </w:div>
    <w:div w:id="300503155">
      <w:bodyDiv w:val="1"/>
      <w:marLeft w:val="0"/>
      <w:marRight w:val="0"/>
      <w:marTop w:val="0"/>
      <w:marBottom w:val="0"/>
      <w:divBdr>
        <w:top w:val="none" w:sz="0" w:space="0" w:color="auto"/>
        <w:left w:val="none" w:sz="0" w:space="0" w:color="auto"/>
        <w:bottom w:val="none" w:sz="0" w:space="0" w:color="auto"/>
        <w:right w:val="none" w:sz="0" w:space="0" w:color="auto"/>
      </w:divBdr>
    </w:div>
    <w:div w:id="335226979">
      <w:bodyDiv w:val="1"/>
      <w:marLeft w:val="0"/>
      <w:marRight w:val="0"/>
      <w:marTop w:val="0"/>
      <w:marBottom w:val="0"/>
      <w:divBdr>
        <w:top w:val="none" w:sz="0" w:space="0" w:color="auto"/>
        <w:left w:val="none" w:sz="0" w:space="0" w:color="auto"/>
        <w:bottom w:val="none" w:sz="0" w:space="0" w:color="auto"/>
        <w:right w:val="none" w:sz="0" w:space="0" w:color="auto"/>
      </w:divBdr>
    </w:div>
    <w:div w:id="446194647">
      <w:bodyDiv w:val="1"/>
      <w:marLeft w:val="0"/>
      <w:marRight w:val="0"/>
      <w:marTop w:val="0"/>
      <w:marBottom w:val="0"/>
      <w:divBdr>
        <w:top w:val="none" w:sz="0" w:space="0" w:color="auto"/>
        <w:left w:val="none" w:sz="0" w:space="0" w:color="auto"/>
        <w:bottom w:val="none" w:sz="0" w:space="0" w:color="auto"/>
        <w:right w:val="none" w:sz="0" w:space="0" w:color="auto"/>
      </w:divBdr>
    </w:div>
    <w:div w:id="474376475">
      <w:bodyDiv w:val="1"/>
      <w:marLeft w:val="0"/>
      <w:marRight w:val="0"/>
      <w:marTop w:val="0"/>
      <w:marBottom w:val="0"/>
      <w:divBdr>
        <w:top w:val="none" w:sz="0" w:space="0" w:color="auto"/>
        <w:left w:val="none" w:sz="0" w:space="0" w:color="auto"/>
        <w:bottom w:val="none" w:sz="0" w:space="0" w:color="auto"/>
        <w:right w:val="none" w:sz="0" w:space="0" w:color="auto"/>
      </w:divBdr>
    </w:div>
    <w:div w:id="497383904">
      <w:bodyDiv w:val="1"/>
      <w:marLeft w:val="0"/>
      <w:marRight w:val="0"/>
      <w:marTop w:val="0"/>
      <w:marBottom w:val="0"/>
      <w:divBdr>
        <w:top w:val="none" w:sz="0" w:space="0" w:color="auto"/>
        <w:left w:val="none" w:sz="0" w:space="0" w:color="auto"/>
        <w:bottom w:val="none" w:sz="0" w:space="0" w:color="auto"/>
        <w:right w:val="none" w:sz="0" w:space="0" w:color="auto"/>
      </w:divBdr>
    </w:div>
    <w:div w:id="510337299">
      <w:bodyDiv w:val="1"/>
      <w:marLeft w:val="0"/>
      <w:marRight w:val="0"/>
      <w:marTop w:val="0"/>
      <w:marBottom w:val="0"/>
      <w:divBdr>
        <w:top w:val="none" w:sz="0" w:space="0" w:color="auto"/>
        <w:left w:val="none" w:sz="0" w:space="0" w:color="auto"/>
        <w:bottom w:val="none" w:sz="0" w:space="0" w:color="auto"/>
        <w:right w:val="none" w:sz="0" w:space="0" w:color="auto"/>
      </w:divBdr>
    </w:div>
    <w:div w:id="527566220">
      <w:bodyDiv w:val="1"/>
      <w:marLeft w:val="0"/>
      <w:marRight w:val="0"/>
      <w:marTop w:val="0"/>
      <w:marBottom w:val="0"/>
      <w:divBdr>
        <w:top w:val="none" w:sz="0" w:space="0" w:color="auto"/>
        <w:left w:val="none" w:sz="0" w:space="0" w:color="auto"/>
        <w:bottom w:val="none" w:sz="0" w:space="0" w:color="auto"/>
        <w:right w:val="none" w:sz="0" w:space="0" w:color="auto"/>
      </w:divBdr>
    </w:div>
    <w:div w:id="556822808">
      <w:bodyDiv w:val="1"/>
      <w:marLeft w:val="0"/>
      <w:marRight w:val="0"/>
      <w:marTop w:val="0"/>
      <w:marBottom w:val="0"/>
      <w:divBdr>
        <w:top w:val="none" w:sz="0" w:space="0" w:color="auto"/>
        <w:left w:val="none" w:sz="0" w:space="0" w:color="auto"/>
        <w:bottom w:val="none" w:sz="0" w:space="0" w:color="auto"/>
        <w:right w:val="none" w:sz="0" w:space="0" w:color="auto"/>
      </w:divBdr>
    </w:div>
    <w:div w:id="592784670">
      <w:bodyDiv w:val="1"/>
      <w:marLeft w:val="0"/>
      <w:marRight w:val="0"/>
      <w:marTop w:val="0"/>
      <w:marBottom w:val="0"/>
      <w:divBdr>
        <w:top w:val="none" w:sz="0" w:space="0" w:color="auto"/>
        <w:left w:val="none" w:sz="0" w:space="0" w:color="auto"/>
        <w:bottom w:val="none" w:sz="0" w:space="0" w:color="auto"/>
        <w:right w:val="none" w:sz="0" w:space="0" w:color="auto"/>
      </w:divBdr>
    </w:div>
    <w:div w:id="744689787">
      <w:bodyDiv w:val="1"/>
      <w:marLeft w:val="0"/>
      <w:marRight w:val="0"/>
      <w:marTop w:val="0"/>
      <w:marBottom w:val="0"/>
      <w:divBdr>
        <w:top w:val="none" w:sz="0" w:space="0" w:color="auto"/>
        <w:left w:val="none" w:sz="0" w:space="0" w:color="auto"/>
        <w:bottom w:val="none" w:sz="0" w:space="0" w:color="auto"/>
        <w:right w:val="none" w:sz="0" w:space="0" w:color="auto"/>
      </w:divBdr>
    </w:div>
    <w:div w:id="744842997">
      <w:bodyDiv w:val="1"/>
      <w:marLeft w:val="0"/>
      <w:marRight w:val="0"/>
      <w:marTop w:val="0"/>
      <w:marBottom w:val="0"/>
      <w:divBdr>
        <w:top w:val="none" w:sz="0" w:space="0" w:color="auto"/>
        <w:left w:val="none" w:sz="0" w:space="0" w:color="auto"/>
        <w:bottom w:val="none" w:sz="0" w:space="0" w:color="auto"/>
        <w:right w:val="none" w:sz="0" w:space="0" w:color="auto"/>
      </w:divBdr>
    </w:div>
    <w:div w:id="754009567">
      <w:bodyDiv w:val="1"/>
      <w:marLeft w:val="0"/>
      <w:marRight w:val="0"/>
      <w:marTop w:val="0"/>
      <w:marBottom w:val="0"/>
      <w:divBdr>
        <w:top w:val="none" w:sz="0" w:space="0" w:color="auto"/>
        <w:left w:val="none" w:sz="0" w:space="0" w:color="auto"/>
        <w:bottom w:val="none" w:sz="0" w:space="0" w:color="auto"/>
        <w:right w:val="none" w:sz="0" w:space="0" w:color="auto"/>
      </w:divBdr>
    </w:div>
    <w:div w:id="815146239">
      <w:bodyDiv w:val="1"/>
      <w:marLeft w:val="0"/>
      <w:marRight w:val="0"/>
      <w:marTop w:val="0"/>
      <w:marBottom w:val="0"/>
      <w:divBdr>
        <w:top w:val="none" w:sz="0" w:space="0" w:color="auto"/>
        <w:left w:val="none" w:sz="0" w:space="0" w:color="auto"/>
        <w:bottom w:val="none" w:sz="0" w:space="0" w:color="auto"/>
        <w:right w:val="none" w:sz="0" w:space="0" w:color="auto"/>
      </w:divBdr>
    </w:div>
    <w:div w:id="1084961433">
      <w:bodyDiv w:val="1"/>
      <w:marLeft w:val="0"/>
      <w:marRight w:val="0"/>
      <w:marTop w:val="0"/>
      <w:marBottom w:val="0"/>
      <w:divBdr>
        <w:top w:val="none" w:sz="0" w:space="0" w:color="auto"/>
        <w:left w:val="none" w:sz="0" w:space="0" w:color="auto"/>
        <w:bottom w:val="none" w:sz="0" w:space="0" w:color="auto"/>
        <w:right w:val="none" w:sz="0" w:space="0" w:color="auto"/>
      </w:divBdr>
    </w:div>
    <w:div w:id="1141532913">
      <w:bodyDiv w:val="1"/>
      <w:marLeft w:val="0"/>
      <w:marRight w:val="0"/>
      <w:marTop w:val="0"/>
      <w:marBottom w:val="0"/>
      <w:divBdr>
        <w:top w:val="none" w:sz="0" w:space="0" w:color="auto"/>
        <w:left w:val="none" w:sz="0" w:space="0" w:color="auto"/>
        <w:bottom w:val="none" w:sz="0" w:space="0" w:color="auto"/>
        <w:right w:val="none" w:sz="0" w:space="0" w:color="auto"/>
      </w:divBdr>
    </w:div>
    <w:div w:id="1247610694">
      <w:bodyDiv w:val="1"/>
      <w:marLeft w:val="0"/>
      <w:marRight w:val="0"/>
      <w:marTop w:val="0"/>
      <w:marBottom w:val="0"/>
      <w:divBdr>
        <w:top w:val="none" w:sz="0" w:space="0" w:color="auto"/>
        <w:left w:val="none" w:sz="0" w:space="0" w:color="auto"/>
        <w:bottom w:val="none" w:sz="0" w:space="0" w:color="auto"/>
        <w:right w:val="none" w:sz="0" w:space="0" w:color="auto"/>
      </w:divBdr>
    </w:div>
    <w:div w:id="1347516441">
      <w:bodyDiv w:val="1"/>
      <w:marLeft w:val="0"/>
      <w:marRight w:val="0"/>
      <w:marTop w:val="0"/>
      <w:marBottom w:val="0"/>
      <w:divBdr>
        <w:top w:val="none" w:sz="0" w:space="0" w:color="auto"/>
        <w:left w:val="none" w:sz="0" w:space="0" w:color="auto"/>
        <w:bottom w:val="none" w:sz="0" w:space="0" w:color="auto"/>
        <w:right w:val="none" w:sz="0" w:space="0" w:color="auto"/>
      </w:divBdr>
    </w:div>
    <w:div w:id="1494224784">
      <w:bodyDiv w:val="1"/>
      <w:marLeft w:val="0"/>
      <w:marRight w:val="0"/>
      <w:marTop w:val="0"/>
      <w:marBottom w:val="0"/>
      <w:divBdr>
        <w:top w:val="none" w:sz="0" w:space="0" w:color="auto"/>
        <w:left w:val="none" w:sz="0" w:space="0" w:color="auto"/>
        <w:bottom w:val="none" w:sz="0" w:space="0" w:color="auto"/>
        <w:right w:val="none" w:sz="0" w:space="0" w:color="auto"/>
      </w:divBdr>
    </w:div>
    <w:div w:id="1525053960">
      <w:bodyDiv w:val="1"/>
      <w:marLeft w:val="0"/>
      <w:marRight w:val="0"/>
      <w:marTop w:val="0"/>
      <w:marBottom w:val="0"/>
      <w:divBdr>
        <w:top w:val="none" w:sz="0" w:space="0" w:color="auto"/>
        <w:left w:val="none" w:sz="0" w:space="0" w:color="auto"/>
        <w:bottom w:val="none" w:sz="0" w:space="0" w:color="auto"/>
        <w:right w:val="none" w:sz="0" w:space="0" w:color="auto"/>
      </w:divBdr>
    </w:div>
    <w:div w:id="1555462281">
      <w:bodyDiv w:val="1"/>
      <w:marLeft w:val="0"/>
      <w:marRight w:val="0"/>
      <w:marTop w:val="0"/>
      <w:marBottom w:val="0"/>
      <w:divBdr>
        <w:top w:val="none" w:sz="0" w:space="0" w:color="auto"/>
        <w:left w:val="none" w:sz="0" w:space="0" w:color="auto"/>
        <w:bottom w:val="none" w:sz="0" w:space="0" w:color="auto"/>
        <w:right w:val="none" w:sz="0" w:space="0" w:color="auto"/>
      </w:divBdr>
    </w:div>
    <w:div w:id="1593003566">
      <w:bodyDiv w:val="1"/>
      <w:marLeft w:val="0"/>
      <w:marRight w:val="0"/>
      <w:marTop w:val="0"/>
      <w:marBottom w:val="0"/>
      <w:divBdr>
        <w:top w:val="none" w:sz="0" w:space="0" w:color="auto"/>
        <w:left w:val="none" w:sz="0" w:space="0" w:color="auto"/>
        <w:bottom w:val="none" w:sz="0" w:space="0" w:color="auto"/>
        <w:right w:val="none" w:sz="0" w:space="0" w:color="auto"/>
      </w:divBdr>
    </w:div>
    <w:div w:id="1654291240">
      <w:bodyDiv w:val="1"/>
      <w:marLeft w:val="0"/>
      <w:marRight w:val="0"/>
      <w:marTop w:val="0"/>
      <w:marBottom w:val="0"/>
      <w:divBdr>
        <w:top w:val="none" w:sz="0" w:space="0" w:color="auto"/>
        <w:left w:val="none" w:sz="0" w:space="0" w:color="auto"/>
        <w:bottom w:val="none" w:sz="0" w:space="0" w:color="auto"/>
        <w:right w:val="none" w:sz="0" w:space="0" w:color="auto"/>
      </w:divBdr>
    </w:div>
    <w:div w:id="1675690784">
      <w:bodyDiv w:val="1"/>
      <w:marLeft w:val="0"/>
      <w:marRight w:val="0"/>
      <w:marTop w:val="0"/>
      <w:marBottom w:val="0"/>
      <w:divBdr>
        <w:top w:val="none" w:sz="0" w:space="0" w:color="auto"/>
        <w:left w:val="none" w:sz="0" w:space="0" w:color="auto"/>
        <w:bottom w:val="none" w:sz="0" w:space="0" w:color="auto"/>
        <w:right w:val="none" w:sz="0" w:space="0" w:color="auto"/>
      </w:divBdr>
    </w:div>
    <w:div w:id="1774403232">
      <w:bodyDiv w:val="1"/>
      <w:marLeft w:val="0"/>
      <w:marRight w:val="0"/>
      <w:marTop w:val="0"/>
      <w:marBottom w:val="0"/>
      <w:divBdr>
        <w:top w:val="none" w:sz="0" w:space="0" w:color="auto"/>
        <w:left w:val="none" w:sz="0" w:space="0" w:color="auto"/>
        <w:bottom w:val="none" w:sz="0" w:space="0" w:color="auto"/>
        <w:right w:val="none" w:sz="0" w:space="0" w:color="auto"/>
      </w:divBdr>
    </w:div>
    <w:div w:id="211944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9DA70-7BBE-4AB4-8DA6-1C4AF85B0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1444</Words>
  <Characters>8232</Characters>
  <Application>Microsoft Office Word</Application>
  <DocSecurity>2</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Wilcox, Heather</dc:creator>
  <cp:lastModifiedBy>O'CALLAGHAN, Jamie (MOORFIELDS EYE HOSPITAL NHS FOUNDATION TRUST)</cp:lastModifiedBy>
  <cp:revision>6</cp:revision>
  <cp:lastPrinted>2019-10-03T09:34:00Z</cp:lastPrinted>
  <dcterms:created xsi:type="dcterms:W3CDTF">2022-06-16T14:09:00Z</dcterms:created>
  <dcterms:modified xsi:type="dcterms:W3CDTF">2022-06-17T14:38:00Z</dcterms:modified>
</cp:coreProperties>
</file>