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5015" w14:textId="77777777" w:rsidR="007C628B" w:rsidRPr="00F46EE1" w:rsidRDefault="00E37EE4" w:rsidP="007C628B">
      <w:pPr>
        <w:rPr>
          <w:rFonts w:asciiTheme="minorHAnsi" w:hAnsiTheme="minorHAnsi"/>
        </w:rPr>
      </w:pPr>
      <w:r>
        <w:rPr>
          <w:noProof/>
          <w:lang w:eastAsia="en-GB"/>
        </w:rPr>
        <w:drawing>
          <wp:anchor distT="0" distB="0" distL="114300" distR="114300" simplePos="0" relativeHeight="251661312" behindDoc="0" locked="0" layoutInCell="1" allowOverlap="1" wp14:anchorId="32281CF9" wp14:editId="47EC381A">
            <wp:simplePos x="0" y="0"/>
            <wp:positionH relativeFrom="margin">
              <wp:posOffset>5759450</wp:posOffset>
            </wp:positionH>
            <wp:positionV relativeFrom="paragraph">
              <wp:posOffset>39370</wp:posOffset>
            </wp:positionV>
            <wp:extent cx="895985" cy="3606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HS White Letters on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985" cy="36068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0" wp14:anchorId="4C310766" wp14:editId="0FF5B89D">
            <wp:simplePos x="0" y="0"/>
            <wp:positionH relativeFrom="margin">
              <wp:posOffset>152400</wp:posOffset>
            </wp:positionH>
            <wp:positionV relativeFrom="page">
              <wp:posOffset>764540</wp:posOffset>
            </wp:positionV>
            <wp:extent cx="2559600" cy="6840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orfields Hospital NHS Foundatiion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9600" cy="684000"/>
                    </a:xfrm>
                    <a:prstGeom prst="rect">
                      <a:avLst/>
                    </a:prstGeom>
                  </pic:spPr>
                </pic:pic>
              </a:graphicData>
            </a:graphic>
            <wp14:sizeRelH relativeFrom="margin">
              <wp14:pctWidth>0</wp14:pctWidth>
            </wp14:sizeRelH>
            <wp14:sizeRelV relativeFrom="margin">
              <wp14:pctHeight>0</wp14:pctHeight>
            </wp14:sizeRelV>
          </wp:anchor>
        </w:drawing>
      </w:r>
    </w:p>
    <w:p w14:paraId="70DA086C" w14:textId="57ECE677" w:rsidR="007C628B" w:rsidRPr="00F46EE1" w:rsidRDefault="0063008F" w:rsidP="007C628B">
      <w:pPr>
        <w:rPr>
          <w:rFonts w:asciiTheme="minorHAnsi" w:hAnsiTheme="minorHAnsi"/>
        </w:rPr>
      </w:pPr>
      <w:r>
        <w:rPr>
          <w:noProof/>
          <w:lang w:eastAsia="en-GB"/>
        </w:rPr>
        <w:drawing>
          <wp:anchor distT="0" distB="0" distL="114300" distR="114300" simplePos="0" relativeHeight="251665408" behindDoc="0" locked="0" layoutInCell="1" allowOverlap="1" wp14:anchorId="60B8095E" wp14:editId="31FD2E83">
            <wp:simplePos x="0" y="0"/>
            <wp:positionH relativeFrom="margin">
              <wp:posOffset>4895850</wp:posOffset>
            </wp:positionH>
            <wp:positionV relativeFrom="page">
              <wp:posOffset>1241425</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10"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20C6B" w14:textId="77777777" w:rsidR="007C628B" w:rsidRDefault="007C628B" w:rsidP="007C628B">
      <w:pPr>
        <w:rPr>
          <w:rFonts w:asciiTheme="minorHAnsi" w:hAnsiTheme="minorHAnsi"/>
        </w:rPr>
      </w:pPr>
    </w:p>
    <w:p w14:paraId="5323685F" w14:textId="77777777" w:rsidR="00E37EE4" w:rsidRDefault="00E37EE4" w:rsidP="007C628B">
      <w:pPr>
        <w:rPr>
          <w:rFonts w:asciiTheme="minorHAnsi" w:hAnsiTheme="minorHAnsi"/>
        </w:rPr>
      </w:pPr>
    </w:p>
    <w:p w14:paraId="1067D5F6" w14:textId="2B2F7D76" w:rsidR="00F46EE1" w:rsidRDefault="00E37EE4" w:rsidP="00E37EE4">
      <w:pPr>
        <w:rPr>
          <w:rFonts w:asciiTheme="minorHAnsi" w:hAnsiTheme="minorHAnsi"/>
          <w:b/>
        </w:rPr>
      </w:pPr>
      <w:r w:rsidRPr="00FE01D3">
        <w:rPr>
          <w:noProof/>
          <w:lang w:eastAsia="en-GB"/>
        </w:rPr>
        <mc:AlternateContent>
          <mc:Choice Requires="wps">
            <w:drawing>
              <wp:anchor distT="0" distB="0" distL="114300" distR="114300" simplePos="0" relativeHeight="251663360" behindDoc="0" locked="1" layoutInCell="1" allowOverlap="1" wp14:anchorId="7D345611" wp14:editId="5BD6B76B">
                <wp:simplePos x="0" y="0"/>
                <wp:positionH relativeFrom="margin">
                  <wp:posOffset>158750</wp:posOffset>
                </wp:positionH>
                <wp:positionV relativeFrom="margin">
                  <wp:posOffset>1251585</wp:posOffset>
                </wp:positionV>
                <wp:extent cx="6645275" cy="2483485"/>
                <wp:effectExtent l="0" t="0" r="3175" b="0"/>
                <wp:wrapSquare wrapText="bothSides"/>
                <wp:docPr id="2" name="Rectangle 2"/>
                <wp:cNvGraphicFramePr/>
                <a:graphic xmlns:a="http://schemas.openxmlformats.org/drawingml/2006/main">
                  <a:graphicData uri="http://schemas.microsoft.com/office/word/2010/wordprocessingShape">
                    <wps:wsp>
                      <wps:cNvSpPr/>
                      <wps:spPr>
                        <a:xfrm>
                          <a:off x="0" y="0"/>
                          <a:ext cx="6645275" cy="24834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485D8" w14:textId="365F78A6" w:rsidR="00E37EE4" w:rsidRPr="00DD5F75" w:rsidRDefault="00E37EE4" w:rsidP="00E37EE4">
                            <w:pPr>
                              <w:pStyle w:val="ReportTitle"/>
                              <w:rPr>
                                <w:sz w:val="44"/>
                                <w:szCs w:val="44"/>
                              </w:rPr>
                            </w:pPr>
                            <w:r w:rsidRPr="00DD5F75">
                              <w:rPr>
                                <w:sz w:val="44"/>
                                <w:szCs w:val="44"/>
                              </w:rPr>
                              <w:t xml:space="preserve">Agenda item </w:t>
                            </w:r>
                            <w:r w:rsidR="00D0191A">
                              <w:rPr>
                                <w:sz w:val="44"/>
                                <w:szCs w:val="44"/>
                              </w:rPr>
                              <w:t>1</w:t>
                            </w:r>
                            <w:r w:rsidR="00012105">
                              <w:rPr>
                                <w:sz w:val="44"/>
                                <w:szCs w:val="44"/>
                              </w:rPr>
                              <w:t>3</w:t>
                            </w:r>
                          </w:p>
                          <w:p w14:paraId="711F7201" w14:textId="1ECF3AD9" w:rsidR="00E37EE4" w:rsidRPr="00DD5F75" w:rsidRDefault="00E37EE4" w:rsidP="00E37EE4">
                            <w:pPr>
                              <w:pStyle w:val="ReportTitle"/>
                              <w:rPr>
                                <w:sz w:val="44"/>
                                <w:szCs w:val="44"/>
                              </w:rPr>
                            </w:pPr>
                            <w:r w:rsidRPr="00DD5F75">
                              <w:rPr>
                                <w:sz w:val="44"/>
                                <w:szCs w:val="44"/>
                              </w:rPr>
                              <w:t xml:space="preserve">Report of the </w:t>
                            </w:r>
                            <w:r w:rsidR="00922123">
                              <w:rPr>
                                <w:sz w:val="44"/>
                                <w:szCs w:val="44"/>
                              </w:rPr>
                              <w:t>audit and risk</w:t>
                            </w:r>
                            <w:r w:rsidR="00DD5F75" w:rsidRPr="00DD5F75">
                              <w:rPr>
                                <w:sz w:val="44"/>
                                <w:szCs w:val="44"/>
                              </w:rPr>
                              <w:t xml:space="preserve"> committee</w:t>
                            </w:r>
                          </w:p>
                          <w:p w14:paraId="755D0AFA" w14:textId="2E9162EF" w:rsidR="00E37EE4" w:rsidRPr="00DD5F75" w:rsidRDefault="00E37EE4" w:rsidP="009A2CD2">
                            <w:pPr>
                              <w:pStyle w:val="ReportTitle"/>
                              <w:ind w:right="1813"/>
                              <w:rPr>
                                <w:sz w:val="44"/>
                                <w:szCs w:val="44"/>
                              </w:rPr>
                            </w:pPr>
                            <w:r w:rsidRPr="00DD5F75">
                              <w:rPr>
                                <w:sz w:val="44"/>
                                <w:szCs w:val="44"/>
                              </w:rPr>
                              <w:t xml:space="preserve">Board of directors </w:t>
                            </w:r>
                            <w:r w:rsidR="006476CD">
                              <w:rPr>
                                <w:sz w:val="44"/>
                                <w:szCs w:val="44"/>
                              </w:rPr>
                              <w:t>2</w:t>
                            </w:r>
                            <w:r w:rsidR="00E76561">
                              <w:rPr>
                                <w:sz w:val="44"/>
                                <w:szCs w:val="44"/>
                              </w:rPr>
                              <w:t>8</w:t>
                            </w:r>
                            <w:r w:rsidR="006476CD">
                              <w:rPr>
                                <w:sz w:val="44"/>
                                <w:szCs w:val="44"/>
                              </w:rPr>
                              <w:t xml:space="preserve"> </w:t>
                            </w:r>
                            <w:r w:rsidR="00012105">
                              <w:rPr>
                                <w:sz w:val="44"/>
                                <w:szCs w:val="44"/>
                              </w:rPr>
                              <w:t xml:space="preserve">July </w:t>
                            </w:r>
                            <w:r w:rsidR="006476CD">
                              <w:rPr>
                                <w:sz w:val="44"/>
                                <w:szCs w:val="44"/>
                              </w:rPr>
                              <w:t>2022</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45611" id="Rectangle 2" o:spid="_x0000_s1026" style="position:absolute;left:0;text-align:left;margin-left:12.5pt;margin-top:98.55pt;width:523.25pt;height:19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" fillcolor="#4f81bd [3204]" stroked="f" strokeweight="2pt">
                <v:textbox inset="4mm,,3mm">
                  <w:txbxContent>
                    <w:p w14:paraId="21D485D8" w14:textId="365F78A6" w:rsidR="00E37EE4" w:rsidRPr="00DD5F75" w:rsidRDefault="00E37EE4" w:rsidP="00E37EE4">
                      <w:pPr>
                        <w:pStyle w:val="ReportTitle"/>
                        <w:rPr>
                          <w:sz w:val="44"/>
                          <w:szCs w:val="44"/>
                        </w:rPr>
                      </w:pPr>
                      <w:r w:rsidRPr="00DD5F75">
                        <w:rPr>
                          <w:sz w:val="44"/>
                          <w:szCs w:val="44"/>
                        </w:rPr>
                        <w:t xml:space="preserve">Agenda item </w:t>
                      </w:r>
                      <w:r w:rsidR="00D0191A">
                        <w:rPr>
                          <w:sz w:val="44"/>
                          <w:szCs w:val="44"/>
                        </w:rPr>
                        <w:t>1</w:t>
                      </w:r>
                      <w:r w:rsidR="00012105">
                        <w:rPr>
                          <w:sz w:val="44"/>
                          <w:szCs w:val="44"/>
                        </w:rPr>
                        <w:t>3</w:t>
                      </w:r>
                    </w:p>
                    <w:p w14:paraId="711F7201" w14:textId="1ECF3AD9" w:rsidR="00E37EE4" w:rsidRPr="00DD5F75" w:rsidRDefault="00E37EE4" w:rsidP="00E37EE4">
                      <w:pPr>
                        <w:pStyle w:val="ReportTitle"/>
                        <w:rPr>
                          <w:sz w:val="44"/>
                          <w:szCs w:val="44"/>
                        </w:rPr>
                      </w:pPr>
                      <w:r w:rsidRPr="00DD5F75">
                        <w:rPr>
                          <w:sz w:val="44"/>
                          <w:szCs w:val="44"/>
                        </w:rPr>
                        <w:t xml:space="preserve">Report of the </w:t>
                      </w:r>
                      <w:r w:rsidR="00922123">
                        <w:rPr>
                          <w:sz w:val="44"/>
                          <w:szCs w:val="44"/>
                        </w:rPr>
                        <w:t>audit and risk</w:t>
                      </w:r>
                      <w:r w:rsidR="00DD5F75" w:rsidRPr="00DD5F75">
                        <w:rPr>
                          <w:sz w:val="44"/>
                          <w:szCs w:val="44"/>
                        </w:rPr>
                        <w:t xml:space="preserve"> committee</w:t>
                      </w:r>
                    </w:p>
                    <w:p w14:paraId="755D0AFA" w14:textId="2E9162EF" w:rsidR="00E37EE4" w:rsidRPr="00DD5F75" w:rsidRDefault="00E37EE4" w:rsidP="009A2CD2">
                      <w:pPr>
                        <w:pStyle w:val="ReportTitle"/>
                        <w:ind w:right="1813"/>
                        <w:rPr>
                          <w:sz w:val="44"/>
                          <w:szCs w:val="44"/>
                        </w:rPr>
                      </w:pPr>
                      <w:r w:rsidRPr="00DD5F75">
                        <w:rPr>
                          <w:sz w:val="44"/>
                          <w:szCs w:val="44"/>
                        </w:rPr>
                        <w:t xml:space="preserve">Board of directors </w:t>
                      </w:r>
                      <w:r w:rsidR="006476CD">
                        <w:rPr>
                          <w:sz w:val="44"/>
                          <w:szCs w:val="44"/>
                        </w:rPr>
                        <w:t>2</w:t>
                      </w:r>
                      <w:r w:rsidR="00E76561">
                        <w:rPr>
                          <w:sz w:val="44"/>
                          <w:szCs w:val="44"/>
                        </w:rPr>
                        <w:t>8</w:t>
                      </w:r>
                      <w:r w:rsidR="006476CD">
                        <w:rPr>
                          <w:sz w:val="44"/>
                          <w:szCs w:val="44"/>
                        </w:rPr>
                        <w:t xml:space="preserve"> </w:t>
                      </w:r>
                      <w:r w:rsidR="00012105">
                        <w:rPr>
                          <w:sz w:val="44"/>
                          <w:szCs w:val="44"/>
                        </w:rPr>
                        <w:t xml:space="preserve">July </w:t>
                      </w:r>
                      <w:r w:rsidR="006476CD">
                        <w:rPr>
                          <w:sz w:val="44"/>
                          <w:szCs w:val="44"/>
                        </w:rPr>
                        <w:t>2022</w:t>
                      </w:r>
                    </w:p>
                  </w:txbxContent>
                </v:textbox>
                <w10:wrap type="square" anchorx="margin" anchory="margin"/>
                <w10:anchorlock/>
              </v:rect>
            </w:pict>
          </mc:Fallback>
        </mc:AlternateContent>
      </w:r>
    </w:p>
    <w:p w14:paraId="7A8802D9" w14:textId="77777777" w:rsidR="00E37EE4" w:rsidRPr="00F46EE1" w:rsidRDefault="00E37EE4" w:rsidP="00E37EE4">
      <w:pPr>
        <w:rPr>
          <w:rFonts w:asciiTheme="minorHAnsi" w:hAnsiTheme="minorHAnsi"/>
          <w:b/>
        </w:rPr>
      </w:pPr>
    </w:p>
    <w:p w14:paraId="4EE23FC8" w14:textId="77777777" w:rsidR="00F46EE1" w:rsidRDefault="00F46EE1" w:rsidP="007C628B">
      <w:pPr>
        <w:rPr>
          <w:rFonts w:asciiTheme="minorHAnsi" w:hAnsiTheme="minorHAnsi"/>
        </w:rPr>
      </w:pPr>
    </w:p>
    <w:p w14:paraId="58B5CCB9" w14:textId="77777777" w:rsidR="00522C0A" w:rsidRDefault="00522C0A" w:rsidP="007C628B">
      <w:pPr>
        <w:rPr>
          <w:rFonts w:asciiTheme="minorHAnsi" w:hAnsiTheme="minorHAnsi"/>
        </w:rPr>
      </w:pPr>
    </w:p>
    <w:p w14:paraId="517BB2B8" w14:textId="77777777" w:rsidR="00522C0A" w:rsidRDefault="00522C0A" w:rsidP="007C628B">
      <w:pPr>
        <w:rPr>
          <w:rFonts w:asciiTheme="minorHAnsi" w:hAnsiTheme="minorHAnsi"/>
        </w:rPr>
      </w:pPr>
    </w:p>
    <w:p w14:paraId="11840AB3" w14:textId="77777777" w:rsidR="00522C0A" w:rsidRDefault="00522C0A" w:rsidP="007C628B">
      <w:pPr>
        <w:rPr>
          <w:rFonts w:asciiTheme="minorHAnsi" w:hAnsiTheme="minorHAnsi"/>
        </w:rPr>
      </w:pPr>
    </w:p>
    <w:p w14:paraId="119B1DF1" w14:textId="77777777" w:rsidR="00522C0A" w:rsidRDefault="00522C0A" w:rsidP="007C628B">
      <w:pPr>
        <w:rPr>
          <w:rFonts w:asciiTheme="minorHAnsi" w:hAnsiTheme="minorHAnsi"/>
        </w:rPr>
      </w:pPr>
    </w:p>
    <w:p w14:paraId="06D860C6" w14:textId="77777777" w:rsidR="00522C0A" w:rsidRDefault="00522C0A" w:rsidP="007C628B">
      <w:pPr>
        <w:rPr>
          <w:rFonts w:asciiTheme="minorHAnsi" w:hAnsiTheme="minorHAnsi"/>
        </w:rPr>
      </w:pPr>
    </w:p>
    <w:p w14:paraId="36054494" w14:textId="77777777" w:rsidR="00522C0A" w:rsidRDefault="00522C0A" w:rsidP="007C628B">
      <w:pPr>
        <w:rPr>
          <w:rFonts w:asciiTheme="minorHAnsi" w:hAnsiTheme="minorHAnsi"/>
        </w:rPr>
      </w:pPr>
    </w:p>
    <w:p w14:paraId="0324A189" w14:textId="77777777" w:rsidR="00522C0A" w:rsidRDefault="00522C0A" w:rsidP="007C628B">
      <w:pPr>
        <w:rPr>
          <w:rFonts w:asciiTheme="minorHAnsi" w:hAnsiTheme="minorHAnsi"/>
        </w:rPr>
      </w:pPr>
    </w:p>
    <w:p w14:paraId="2F55A7FD" w14:textId="77777777" w:rsidR="00522C0A" w:rsidRDefault="00522C0A" w:rsidP="007C628B">
      <w:pPr>
        <w:rPr>
          <w:rFonts w:asciiTheme="minorHAnsi" w:hAnsiTheme="minorHAnsi"/>
        </w:rPr>
      </w:pPr>
    </w:p>
    <w:p w14:paraId="041A56A1" w14:textId="77777777" w:rsidR="00522C0A" w:rsidRDefault="00522C0A" w:rsidP="007C628B">
      <w:pPr>
        <w:rPr>
          <w:rFonts w:asciiTheme="minorHAnsi" w:hAnsiTheme="minorHAnsi"/>
        </w:rPr>
      </w:pPr>
    </w:p>
    <w:p w14:paraId="017A0E12" w14:textId="77777777" w:rsidR="00522C0A" w:rsidRDefault="00522C0A" w:rsidP="007C628B">
      <w:pPr>
        <w:rPr>
          <w:rFonts w:asciiTheme="minorHAnsi" w:hAnsiTheme="minorHAnsi"/>
        </w:rPr>
      </w:pPr>
    </w:p>
    <w:p w14:paraId="427A8921" w14:textId="77777777" w:rsidR="00522C0A" w:rsidRDefault="00522C0A" w:rsidP="007C628B">
      <w:pPr>
        <w:rPr>
          <w:rFonts w:asciiTheme="minorHAnsi" w:hAnsiTheme="minorHAnsi"/>
        </w:rPr>
      </w:pPr>
    </w:p>
    <w:p w14:paraId="71EB807E" w14:textId="77777777" w:rsidR="00522C0A" w:rsidRDefault="00522C0A" w:rsidP="007C628B">
      <w:pPr>
        <w:rPr>
          <w:rFonts w:asciiTheme="minorHAnsi" w:hAnsiTheme="minorHAnsi"/>
        </w:rPr>
      </w:pPr>
    </w:p>
    <w:p w14:paraId="72AD4E57" w14:textId="77777777" w:rsidR="00522C0A" w:rsidRDefault="00522C0A" w:rsidP="007C628B">
      <w:pPr>
        <w:rPr>
          <w:rFonts w:asciiTheme="minorHAnsi" w:hAnsiTheme="minorHAnsi"/>
        </w:rPr>
      </w:pPr>
    </w:p>
    <w:p w14:paraId="7DA36772" w14:textId="77777777" w:rsidR="00522C0A" w:rsidRDefault="00522C0A" w:rsidP="007C628B">
      <w:pPr>
        <w:rPr>
          <w:rFonts w:asciiTheme="minorHAnsi" w:hAnsiTheme="minorHAnsi"/>
        </w:rPr>
      </w:pPr>
    </w:p>
    <w:p w14:paraId="00C48CC2" w14:textId="77777777" w:rsidR="00522C0A" w:rsidRDefault="00522C0A" w:rsidP="007C628B">
      <w:pPr>
        <w:rPr>
          <w:rFonts w:asciiTheme="minorHAnsi" w:hAnsiTheme="minorHAnsi"/>
        </w:rPr>
      </w:pPr>
    </w:p>
    <w:p w14:paraId="0F58AA33" w14:textId="77777777" w:rsidR="00522C0A" w:rsidRDefault="00522C0A" w:rsidP="007C628B">
      <w:pPr>
        <w:rPr>
          <w:rFonts w:asciiTheme="minorHAnsi" w:hAnsiTheme="minorHAnsi"/>
        </w:rPr>
      </w:pPr>
    </w:p>
    <w:p w14:paraId="57861116" w14:textId="77777777" w:rsidR="00522C0A" w:rsidRDefault="00522C0A" w:rsidP="007C628B">
      <w:pPr>
        <w:rPr>
          <w:rFonts w:asciiTheme="minorHAnsi" w:hAnsiTheme="minorHAnsi"/>
        </w:rPr>
      </w:pPr>
    </w:p>
    <w:p w14:paraId="4D4A64ED" w14:textId="14227D87" w:rsidR="00522C0A" w:rsidRDefault="00522C0A" w:rsidP="007C628B">
      <w:pPr>
        <w:rPr>
          <w:rFonts w:asciiTheme="minorHAnsi" w:hAnsiTheme="minorHAnsi"/>
        </w:rPr>
      </w:pPr>
    </w:p>
    <w:p w14:paraId="0A36727F" w14:textId="77777777" w:rsidR="00AC3B21" w:rsidRPr="00F46EE1" w:rsidRDefault="00AC3B21" w:rsidP="007C628B">
      <w:pPr>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121"/>
      </w:tblGrid>
      <w:tr w:rsidR="00E34EBF" w:rsidRPr="000210D9" w14:paraId="3E871FAD"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3A0EB7DB"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lastRenderedPageBreak/>
              <w:t xml:space="preserve">Report </w:t>
            </w:r>
            <w:r w:rsidR="007C628B" w:rsidRPr="000210D9">
              <w:rPr>
                <w:rFonts w:asciiTheme="minorHAnsi" w:hAnsiTheme="minorHAnsi"/>
                <w:b/>
                <w:sz w:val="22"/>
              </w:rPr>
              <w:t>t</w:t>
            </w:r>
            <w:r w:rsidRPr="000210D9">
              <w:rPr>
                <w:rFonts w:asciiTheme="minorHAnsi" w:hAnsiTheme="minorHAnsi"/>
                <w:b/>
                <w:sz w:val="22"/>
              </w:rPr>
              <w:t>itle</w:t>
            </w:r>
          </w:p>
        </w:tc>
        <w:tc>
          <w:tcPr>
            <w:tcW w:w="7229" w:type="dxa"/>
            <w:tcBorders>
              <w:top w:val="single" w:sz="4" w:space="0" w:color="auto"/>
              <w:left w:val="single" w:sz="4" w:space="0" w:color="auto"/>
              <w:bottom w:val="single" w:sz="4" w:space="0" w:color="auto"/>
              <w:right w:val="single" w:sz="4" w:space="0" w:color="auto"/>
            </w:tcBorders>
          </w:tcPr>
          <w:p w14:paraId="61B02BA4" w14:textId="1CC70DAD" w:rsidR="00E34EBF" w:rsidRPr="000210D9" w:rsidRDefault="00507F58" w:rsidP="00505696">
            <w:pPr>
              <w:spacing w:before="20" w:after="20"/>
              <w:ind w:left="0"/>
              <w:rPr>
                <w:rFonts w:asciiTheme="minorHAnsi" w:hAnsiTheme="minorHAnsi"/>
                <w:sz w:val="22"/>
              </w:rPr>
            </w:pPr>
            <w:r w:rsidRPr="000210D9">
              <w:rPr>
                <w:rFonts w:asciiTheme="minorHAnsi" w:hAnsiTheme="minorHAnsi"/>
                <w:sz w:val="22"/>
              </w:rPr>
              <w:t xml:space="preserve">Report of the </w:t>
            </w:r>
            <w:r w:rsidR="00922123">
              <w:rPr>
                <w:rFonts w:asciiTheme="minorHAnsi" w:hAnsiTheme="minorHAnsi"/>
                <w:sz w:val="22"/>
              </w:rPr>
              <w:t xml:space="preserve">audit and risk </w:t>
            </w:r>
            <w:r w:rsidRPr="000210D9">
              <w:rPr>
                <w:rFonts w:asciiTheme="minorHAnsi" w:hAnsiTheme="minorHAnsi"/>
                <w:sz w:val="22"/>
              </w:rPr>
              <w:t>committee</w:t>
            </w:r>
          </w:p>
        </w:tc>
      </w:tr>
      <w:tr w:rsidR="00E34EBF" w:rsidRPr="000210D9" w14:paraId="205195CE"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60D6F54E"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Report from</w:t>
            </w:r>
          </w:p>
        </w:tc>
        <w:tc>
          <w:tcPr>
            <w:tcW w:w="7229" w:type="dxa"/>
            <w:tcBorders>
              <w:top w:val="single" w:sz="4" w:space="0" w:color="auto"/>
              <w:left w:val="single" w:sz="4" w:space="0" w:color="auto"/>
              <w:bottom w:val="single" w:sz="4" w:space="0" w:color="auto"/>
              <w:right w:val="single" w:sz="4" w:space="0" w:color="auto"/>
            </w:tcBorders>
          </w:tcPr>
          <w:p w14:paraId="318D99CA" w14:textId="567F73F5" w:rsidR="00E34EBF" w:rsidRPr="000210D9" w:rsidRDefault="00782F0F" w:rsidP="00782F0F">
            <w:pPr>
              <w:spacing w:before="20" w:after="20"/>
              <w:ind w:left="0"/>
              <w:rPr>
                <w:rFonts w:asciiTheme="minorHAnsi" w:hAnsiTheme="minorHAnsi"/>
                <w:sz w:val="22"/>
              </w:rPr>
            </w:pPr>
            <w:r>
              <w:rPr>
                <w:rFonts w:asciiTheme="minorHAnsi" w:hAnsiTheme="minorHAnsi"/>
                <w:sz w:val="22"/>
              </w:rPr>
              <w:t>Nick Hardie</w:t>
            </w:r>
            <w:r w:rsidR="00507F58" w:rsidRPr="000210D9">
              <w:rPr>
                <w:rFonts w:asciiTheme="minorHAnsi" w:hAnsiTheme="minorHAnsi"/>
                <w:sz w:val="22"/>
              </w:rPr>
              <w:t xml:space="preserve">, chairman, </w:t>
            </w:r>
            <w:proofErr w:type="gramStart"/>
            <w:r w:rsidR="00315E80">
              <w:rPr>
                <w:rFonts w:asciiTheme="minorHAnsi" w:hAnsiTheme="minorHAnsi"/>
                <w:sz w:val="22"/>
              </w:rPr>
              <w:t>audit</w:t>
            </w:r>
            <w:proofErr w:type="gramEnd"/>
            <w:r w:rsidR="00315E80">
              <w:rPr>
                <w:rFonts w:asciiTheme="minorHAnsi" w:hAnsiTheme="minorHAnsi"/>
                <w:sz w:val="22"/>
              </w:rPr>
              <w:t xml:space="preserve"> and risk</w:t>
            </w:r>
            <w:r w:rsidR="00507F58" w:rsidRPr="000210D9">
              <w:rPr>
                <w:rFonts w:asciiTheme="minorHAnsi" w:hAnsiTheme="minorHAnsi"/>
                <w:sz w:val="22"/>
              </w:rPr>
              <w:t xml:space="preserve"> committee</w:t>
            </w:r>
          </w:p>
        </w:tc>
      </w:tr>
      <w:tr w:rsidR="00E34EBF" w:rsidRPr="000210D9" w14:paraId="48861677" w14:textId="77777777" w:rsidTr="00F46EE1">
        <w:tc>
          <w:tcPr>
            <w:tcW w:w="2977" w:type="dxa"/>
            <w:tcBorders>
              <w:top w:val="single" w:sz="4" w:space="0" w:color="auto"/>
              <w:left w:val="single" w:sz="4" w:space="0" w:color="auto"/>
              <w:bottom w:val="single" w:sz="4" w:space="0" w:color="auto"/>
              <w:right w:val="single" w:sz="4" w:space="0" w:color="auto"/>
            </w:tcBorders>
            <w:hideMark/>
          </w:tcPr>
          <w:p w14:paraId="74ECB4E2" w14:textId="77777777" w:rsidR="00E34EBF" w:rsidRPr="000210D9" w:rsidRDefault="00E34EBF" w:rsidP="00B673D8">
            <w:pPr>
              <w:spacing w:before="20" w:after="20"/>
              <w:ind w:left="0"/>
              <w:rPr>
                <w:rFonts w:asciiTheme="minorHAnsi" w:hAnsiTheme="minorHAnsi"/>
                <w:b/>
                <w:sz w:val="22"/>
              </w:rPr>
            </w:pPr>
            <w:r w:rsidRPr="000210D9">
              <w:rPr>
                <w:rFonts w:asciiTheme="minorHAnsi" w:hAnsiTheme="minorHAnsi"/>
                <w:b/>
                <w:sz w:val="22"/>
              </w:rPr>
              <w:t xml:space="preserve">Prepared by </w:t>
            </w:r>
          </w:p>
        </w:tc>
        <w:tc>
          <w:tcPr>
            <w:tcW w:w="7229" w:type="dxa"/>
            <w:tcBorders>
              <w:top w:val="single" w:sz="4" w:space="0" w:color="auto"/>
              <w:left w:val="single" w:sz="4" w:space="0" w:color="auto"/>
              <w:bottom w:val="single" w:sz="4" w:space="0" w:color="auto"/>
              <w:right w:val="single" w:sz="4" w:space="0" w:color="auto"/>
            </w:tcBorders>
          </w:tcPr>
          <w:p w14:paraId="37E43305" w14:textId="5023584A" w:rsidR="00E34EBF" w:rsidRPr="000210D9" w:rsidRDefault="00E76561" w:rsidP="00B673D8">
            <w:pPr>
              <w:tabs>
                <w:tab w:val="left" w:pos="2329"/>
              </w:tabs>
              <w:spacing w:before="20" w:after="20"/>
              <w:ind w:left="0"/>
              <w:rPr>
                <w:rFonts w:asciiTheme="minorHAnsi" w:hAnsiTheme="minorHAnsi"/>
                <w:sz w:val="22"/>
              </w:rPr>
            </w:pPr>
            <w:r>
              <w:rPr>
                <w:rFonts w:asciiTheme="minorHAnsi" w:hAnsiTheme="minorHAnsi"/>
                <w:sz w:val="22"/>
              </w:rPr>
              <w:t>Jamie O’Callaghan, head of corporate governance</w:t>
            </w:r>
          </w:p>
        </w:tc>
      </w:tr>
      <w:tr w:rsidR="00C15875" w:rsidRPr="000210D9" w14:paraId="538DCD5B" w14:textId="77777777" w:rsidTr="00F46EE1">
        <w:tc>
          <w:tcPr>
            <w:tcW w:w="2977" w:type="dxa"/>
            <w:tcBorders>
              <w:top w:val="single" w:sz="4" w:space="0" w:color="auto"/>
              <w:left w:val="single" w:sz="4" w:space="0" w:color="auto"/>
              <w:bottom w:val="single" w:sz="4" w:space="0" w:color="auto"/>
              <w:right w:val="single" w:sz="4" w:space="0" w:color="auto"/>
            </w:tcBorders>
          </w:tcPr>
          <w:p w14:paraId="65600542" w14:textId="77777777" w:rsidR="00C15875" w:rsidRPr="000210D9" w:rsidRDefault="00C15875" w:rsidP="00B673D8">
            <w:pPr>
              <w:spacing w:before="20" w:after="20"/>
              <w:ind w:left="0"/>
              <w:rPr>
                <w:rFonts w:asciiTheme="minorHAnsi" w:hAnsiTheme="minorHAnsi"/>
                <w:b/>
                <w:sz w:val="22"/>
              </w:rPr>
            </w:pPr>
            <w:r w:rsidRPr="000210D9">
              <w:rPr>
                <w:rFonts w:asciiTheme="minorHAnsi" w:hAnsiTheme="minorHAnsi"/>
                <w:b/>
                <w:sz w:val="22"/>
              </w:rPr>
              <w:t>Link to strategic objectives</w:t>
            </w:r>
          </w:p>
        </w:tc>
        <w:tc>
          <w:tcPr>
            <w:tcW w:w="7229" w:type="dxa"/>
            <w:tcBorders>
              <w:top w:val="single" w:sz="4" w:space="0" w:color="auto"/>
              <w:left w:val="single" w:sz="4" w:space="0" w:color="auto"/>
              <w:bottom w:val="single" w:sz="4" w:space="0" w:color="auto"/>
              <w:right w:val="single" w:sz="4" w:space="0" w:color="auto"/>
            </w:tcBorders>
          </w:tcPr>
          <w:p w14:paraId="0CB69564" w14:textId="77777777" w:rsidR="00C15875" w:rsidRPr="000210D9" w:rsidRDefault="00C15875" w:rsidP="00B673D8">
            <w:pPr>
              <w:spacing w:before="20" w:after="20"/>
              <w:ind w:left="0"/>
              <w:rPr>
                <w:rFonts w:asciiTheme="minorHAnsi" w:hAnsiTheme="minorHAnsi"/>
                <w:sz w:val="22"/>
              </w:rPr>
            </w:pPr>
            <w:r w:rsidRPr="000210D9">
              <w:rPr>
                <w:rFonts w:asciiTheme="minorHAnsi" w:hAnsiTheme="minorHAnsi"/>
                <w:sz w:val="22"/>
              </w:rPr>
              <w:t xml:space="preserve">We </w:t>
            </w:r>
            <w:proofErr w:type="gramStart"/>
            <w:r w:rsidRPr="000210D9">
              <w:rPr>
                <w:rFonts w:asciiTheme="minorHAnsi" w:hAnsiTheme="minorHAnsi"/>
                <w:sz w:val="22"/>
              </w:rPr>
              <w:t>are able to</w:t>
            </w:r>
            <w:proofErr w:type="gramEnd"/>
            <w:r w:rsidRPr="000210D9">
              <w:rPr>
                <w:rFonts w:asciiTheme="minorHAnsi" w:hAnsiTheme="minorHAnsi"/>
                <w:sz w:val="22"/>
              </w:rPr>
              <w:t xml:space="preserve"> deliver a sustainable financial model</w:t>
            </w:r>
          </w:p>
        </w:tc>
      </w:tr>
    </w:tbl>
    <w:p w14:paraId="020C0676" w14:textId="77777777" w:rsidR="007C628B" w:rsidRPr="00F46EE1" w:rsidRDefault="007C628B" w:rsidP="006406CC">
      <w:pPr>
        <w:spacing w:after="0"/>
        <w:rPr>
          <w:rFonts w:asciiTheme="minorHAnsi" w:hAnsi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404"/>
        <w:gridCol w:w="2037"/>
        <w:gridCol w:w="336"/>
        <w:gridCol w:w="1991"/>
        <w:gridCol w:w="336"/>
        <w:gridCol w:w="2232"/>
        <w:gridCol w:w="633"/>
      </w:tblGrid>
      <w:tr w:rsidR="00E34EBF" w:rsidRPr="000210D9" w14:paraId="1813FE52"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22608DA6" w14:textId="77777777" w:rsidR="00E34EBF" w:rsidRPr="000210D9" w:rsidRDefault="00E34EBF" w:rsidP="00B673D8">
            <w:pPr>
              <w:ind w:left="0"/>
              <w:rPr>
                <w:rFonts w:asciiTheme="minorHAnsi" w:hAnsiTheme="minorHAnsi"/>
                <w:b/>
                <w:sz w:val="22"/>
              </w:rPr>
            </w:pPr>
            <w:proofErr w:type="gramStart"/>
            <w:r w:rsidRPr="000210D9">
              <w:rPr>
                <w:rFonts w:asciiTheme="minorHAnsi" w:hAnsiTheme="minorHAnsi"/>
                <w:b/>
                <w:sz w:val="22"/>
              </w:rPr>
              <w:t>Brief</w:t>
            </w:r>
            <w:r w:rsidRPr="000210D9">
              <w:rPr>
                <w:rFonts w:asciiTheme="minorHAnsi" w:hAnsiTheme="minorHAnsi"/>
                <w:sz w:val="22"/>
              </w:rPr>
              <w:t xml:space="preserve"> </w:t>
            </w:r>
            <w:r w:rsidR="007C628B" w:rsidRPr="000210D9">
              <w:rPr>
                <w:rFonts w:asciiTheme="minorHAnsi" w:hAnsiTheme="minorHAnsi"/>
                <w:b/>
                <w:sz w:val="22"/>
              </w:rPr>
              <w:t>summary</w:t>
            </w:r>
            <w:proofErr w:type="gramEnd"/>
            <w:r w:rsidR="007C628B" w:rsidRPr="000210D9">
              <w:rPr>
                <w:rFonts w:asciiTheme="minorHAnsi" w:hAnsiTheme="minorHAnsi"/>
                <w:b/>
                <w:sz w:val="22"/>
              </w:rPr>
              <w:t xml:space="preserve"> of r</w:t>
            </w:r>
            <w:r w:rsidRPr="000210D9">
              <w:rPr>
                <w:rFonts w:asciiTheme="minorHAnsi" w:hAnsiTheme="minorHAnsi"/>
                <w:b/>
                <w:sz w:val="22"/>
              </w:rPr>
              <w:t xml:space="preserve">eport  </w:t>
            </w:r>
          </w:p>
          <w:p w14:paraId="6D26D64C" w14:textId="16BA6C3F" w:rsidR="00D81ECB" w:rsidRPr="000210D9" w:rsidRDefault="00507F58" w:rsidP="007C4282">
            <w:pPr>
              <w:ind w:left="0"/>
              <w:rPr>
                <w:rFonts w:asciiTheme="minorHAnsi" w:hAnsiTheme="minorHAnsi"/>
                <w:sz w:val="22"/>
              </w:rPr>
            </w:pPr>
            <w:r w:rsidRPr="000210D9">
              <w:rPr>
                <w:rFonts w:asciiTheme="minorHAnsi" w:hAnsiTheme="minorHAnsi"/>
                <w:sz w:val="22"/>
              </w:rPr>
              <w:t xml:space="preserve">Attached is </w:t>
            </w:r>
            <w:proofErr w:type="gramStart"/>
            <w:r w:rsidRPr="000210D9">
              <w:rPr>
                <w:rFonts w:asciiTheme="minorHAnsi" w:hAnsiTheme="minorHAnsi"/>
                <w:sz w:val="22"/>
              </w:rPr>
              <w:t>a brief summary</w:t>
            </w:r>
            <w:proofErr w:type="gramEnd"/>
            <w:r w:rsidRPr="000210D9">
              <w:rPr>
                <w:rFonts w:asciiTheme="minorHAnsi" w:hAnsiTheme="minorHAnsi"/>
                <w:sz w:val="22"/>
              </w:rPr>
              <w:t xml:space="preserve"> of the </w:t>
            </w:r>
            <w:r w:rsidR="00922123">
              <w:rPr>
                <w:rFonts w:asciiTheme="minorHAnsi" w:hAnsiTheme="minorHAnsi"/>
                <w:sz w:val="22"/>
              </w:rPr>
              <w:t xml:space="preserve">audit and risk </w:t>
            </w:r>
            <w:r w:rsidRPr="000210D9">
              <w:rPr>
                <w:rFonts w:asciiTheme="minorHAnsi" w:hAnsiTheme="minorHAnsi"/>
                <w:sz w:val="22"/>
              </w:rPr>
              <w:t xml:space="preserve">committee meeting that took place on </w:t>
            </w:r>
            <w:r w:rsidR="00012105">
              <w:rPr>
                <w:rFonts w:asciiTheme="minorHAnsi" w:hAnsiTheme="minorHAnsi"/>
                <w:sz w:val="22"/>
              </w:rPr>
              <w:t>5 July</w:t>
            </w:r>
            <w:r w:rsidR="006476CD">
              <w:rPr>
                <w:rFonts w:asciiTheme="minorHAnsi" w:hAnsiTheme="minorHAnsi"/>
                <w:sz w:val="22"/>
              </w:rPr>
              <w:t xml:space="preserve"> 2022</w:t>
            </w:r>
            <w:r w:rsidRPr="000210D9">
              <w:rPr>
                <w:rFonts w:asciiTheme="minorHAnsi" w:hAnsiTheme="minorHAnsi"/>
                <w:sz w:val="22"/>
              </w:rPr>
              <w:t xml:space="preserve">. </w:t>
            </w:r>
          </w:p>
          <w:p w14:paraId="05F80CE9" w14:textId="77777777" w:rsidR="007C4282" w:rsidRPr="000210D9" w:rsidRDefault="007C4282" w:rsidP="007C4282">
            <w:pPr>
              <w:ind w:left="0"/>
              <w:rPr>
                <w:rFonts w:asciiTheme="minorHAnsi" w:hAnsiTheme="minorHAnsi"/>
                <w:sz w:val="22"/>
              </w:rPr>
            </w:pPr>
          </w:p>
        </w:tc>
      </w:tr>
      <w:tr w:rsidR="00E34EBF" w:rsidRPr="000210D9" w14:paraId="53A4ADEC" w14:textId="77777777" w:rsidTr="00F46EE1">
        <w:tc>
          <w:tcPr>
            <w:tcW w:w="10206" w:type="dxa"/>
            <w:gridSpan w:val="8"/>
            <w:tcBorders>
              <w:top w:val="single" w:sz="4" w:space="0" w:color="auto"/>
              <w:left w:val="single" w:sz="4" w:space="0" w:color="auto"/>
              <w:bottom w:val="single" w:sz="4" w:space="0" w:color="auto"/>
              <w:right w:val="single" w:sz="4" w:space="0" w:color="auto"/>
            </w:tcBorders>
          </w:tcPr>
          <w:p w14:paraId="521041B1" w14:textId="77777777" w:rsidR="00E34EBF" w:rsidRPr="000210D9" w:rsidRDefault="00E34EBF" w:rsidP="00B673D8">
            <w:pPr>
              <w:ind w:left="0"/>
              <w:rPr>
                <w:rFonts w:asciiTheme="minorHAnsi" w:hAnsiTheme="minorHAnsi"/>
                <w:b/>
                <w:sz w:val="22"/>
              </w:rPr>
            </w:pPr>
            <w:r w:rsidRPr="000210D9">
              <w:rPr>
                <w:rFonts w:asciiTheme="minorHAnsi" w:hAnsiTheme="minorHAnsi"/>
                <w:b/>
                <w:sz w:val="22"/>
              </w:rPr>
              <w:t>Action Required/Recommendation</w:t>
            </w:r>
            <w:r w:rsidR="00AE4054" w:rsidRPr="000210D9">
              <w:rPr>
                <w:rFonts w:asciiTheme="minorHAnsi" w:hAnsiTheme="minorHAnsi"/>
                <w:b/>
                <w:sz w:val="22"/>
              </w:rPr>
              <w:t xml:space="preserve">. </w:t>
            </w:r>
          </w:p>
          <w:p w14:paraId="3E37E190" w14:textId="5EE73ED5" w:rsidR="007C628B" w:rsidRPr="009A2CD2" w:rsidRDefault="009A2CD2" w:rsidP="009A2CD2">
            <w:pPr>
              <w:ind w:left="0"/>
              <w:rPr>
                <w:rFonts w:asciiTheme="minorHAnsi" w:hAnsiTheme="minorHAnsi"/>
                <w:sz w:val="22"/>
              </w:rPr>
            </w:pPr>
            <w:r>
              <w:rPr>
                <w:rFonts w:asciiTheme="minorHAnsi" w:hAnsiTheme="minorHAnsi"/>
                <w:sz w:val="22"/>
              </w:rPr>
              <w:t>The board is asked to n</w:t>
            </w:r>
            <w:r w:rsidR="00226C39" w:rsidRPr="009A2CD2">
              <w:rPr>
                <w:rFonts w:asciiTheme="minorHAnsi" w:hAnsiTheme="minorHAnsi"/>
                <w:sz w:val="22"/>
              </w:rPr>
              <w:t>ote</w:t>
            </w:r>
            <w:r w:rsidR="00507F58" w:rsidRPr="009A2CD2">
              <w:rPr>
                <w:rFonts w:asciiTheme="minorHAnsi" w:hAnsiTheme="minorHAnsi"/>
                <w:sz w:val="22"/>
              </w:rPr>
              <w:t xml:space="preserve"> the report of the </w:t>
            </w:r>
            <w:r w:rsidR="00922123">
              <w:rPr>
                <w:rFonts w:asciiTheme="minorHAnsi" w:hAnsiTheme="minorHAnsi"/>
                <w:sz w:val="22"/>
              </w:rPr>
              <w:t>audit and risk</w:t>
            </w:r>
            <w:r w:rsidR="00507F58" w:rsidRPr="009A2CD2">
              <w:rPr>
                <w:rFonts w:asciiTheme="minorHAnsi" w:hAnsiTheme="minorHAnsi"/>
                <w:sz w:val="22"/>
              </w:rPr>
              <w:t xml:space="preserve"> committee and gain assurance from it.</w:t>
            </w:r>
          </w:p>
          <w:p w14:paraId="09F9EA78" w14:textId="77777777" w:rsidR="00226C39" w:rsidRPr="000210D9" w:rsidRDefault="00226C39" w:rsidP="00F544B2">
            <w:pPr>
              <w:pStyle w:val="ListParagraph"/>
              <w:rPr>
                <w:rFonts w:asciiTheme="minorHAnsi" w:hAnsiTheme="minorHAnsi"/>
                <w:sz w:val="22"/>
              </w:rPr>
            </w:pPr>
          </w:p>
        </w:tc>
      </w:tr>
      <w:tr w:rsidR="00CC2587" w:rsidRPr="000210D9" w14:paraId="4885E472" w14:textId="77777777" w:rsidTr="00F46EE1">
        <w:tc>
          <w:tcPr>
            <w:tcW w:w="2126" w:type="dxa"/>
            <w:tcBorders>
              <w:top w:val="single" w:sz="4" w:space="0" w:color="auto"/>
              <w:left w:val="single" w:sz="4" w:space="0" w:color="auto"/>
              <w:bottom w:val="single" w:sz="4" w:space="0" w:color="auto"/>
              <w:right w:val="single" w:sz="4" w:space="0" w:color="auto"/>
            </w:tcBorders>
            <w:vAlign w:val="center"/>
          </w:tcPr>
          <w:p w14:paraId="6FB12224"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Assurance</w:t>
            </w:r>
          </w:p>
        </w:tc>
        <w:tc>
          <w:tcPr>
            <w:tcW w:w="405" w:type="dxa"/>
            <w:tcBorders>
              <w:top w:val="single" w:sz="4" w:space="0" w:color="auto"/>
              <w:left w:val="single" w:sz="4" w:space="0" w:color="auto"/>
              <w:bottom w:val="single" w:sz="4" w:space="0" w:color="auto"/>
              <w:right w:val="single" w:sz="4" w:space="0" w:color="auto"/>
            </w:tcBorders>
            <w:vAlign w:val="center"/>
          </w:tcPr>
          <w:p w14:paraId="7977BAB5" w14:textId="77777777" w:rsidR="00CC2587" w:rsidRPr="000210D9" w:rsidRDefault="00507F58" w:rsidP="001C3007">
            <w:pPr>
              <w:spacing w:before="120"/>
              <w:ind w:left="0"/>
              <w:jc w:val="right"/>
              <w:rPr>
                <w:rFonts w:asciiTheme="minorHAnsi" w:hAnsiTheme="minorHAnsi"/>
                <w:b/>
                <w:sz w:val="22"/>
              </w:rPr>
            </w:pPr>
            <w:r w:rsidRPr="000210D9">
              <w:rPr>
                <w:rFonts w:asciiTheme="minorHAnsi" w:hAnsiTheme="minorHAnsi"/>
                <w:b/>
                <w:sz w:val="22"/>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0142A6DF"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750868E3" w14:textId="500FFD6C" w:rsidR="00CC2587" w:rsidRPr="000210D9" w:rsidRDefault="00CC2587" w:rsidP="001C3007">
            <w:pPr>
              <w:spacing w:before="120"/>
              <w:ind w:left="0"/>
              <w:jc w:val="right"/>
              <w:rPr>
                <w:rFonts w:asciiTheme="minorHAnsi" w:hAnsiTheme="minorHAnsi"/>
                <w:b/>
                <w:sz w:val="22"/>
              </w:rPr>
            </w:pPr>
          </w:p>
        </w:tc>
        <w:tc>
          <w:tcPr>
            <w:tcW w:w="2019" w:type="dxa"/>
            <w:tcBorders>
              <w:top w:val="single" w:sz="4" w:space="0" w:color="auto"/>
              <w:left w:val="single" w:sz="4" w:space="0" w:color="auto"/>
              <w:bottom w:val="single" w:sz="4" w:space="0" w:color="auto"/>
              <w:right w:val="single" w:sz="4" w:space="0" w:color="auto"/>
            </w:tcBorders>
            <w:vAlign w:val="center"/>
          </w:tcPr>
          <w:p w14:paraId="5EACCF4A" w14:textId="77777777" w:rsidR="00CC2587" w:rsidRPr="000210D9" w:rsidRDefault="00CC2587" w:rsidP="00B673D8">
            <w:pPr>
              <w:spacing w:before="120"/>
              <w:ind w:left="0"/>
              <w:jc w:val="right"/>
              <w:rPr>
                <w:rFonts w:asciiTheme="minorHAnsi" w:hAnsiTheme="minorHAnsi"/>
                <w:b/>
                <w:sz w:val="22"/>
              </w:rPr>
            </w:pPr>
            <w:r w:rsidRPr="000210D9">
              <w:rPr>
                <w:rFonts w:asciiTheme="minorHAnsi" w:hAnsiTheme="minorHAnsi"/>
                <w:b/>
                <w:sz w:val="22"/>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269934CF" w14:textId="77777777" w:rsidR="00CC2587" w:rsidRPr="000210D9" w:rsidRDefault="00CC2587" w:rsidP="001C3007">
            <w:pPr>
              <w:spacing w:before="120"/>
              <w:ind w:left="0"/>
              <w:jc w:val="right"/>
              <w:rPr>
                <w:rFonts w:asciiTheme="minorHAnsi" w:hAnsiTheme="minorHAnsi"/>
                <w:b/>
                <w:sz w:val="22"/>
              </w:rPr>
            </w:pPr>
          </w:p>
        </w:tc>
        <w:tc>
          <w:tcPr>
            <w:tcW w:w="2262" w:type="dxa"/>
            <w:tcBorders>
              <w:top w:val="single" w:sz="4" w:space="0" w:color="auto"/>
              <w:left w:val="single" w:sz="4" w:space="0" w:color="auto"/>
              <w:bottom w:val="single" w:sz="4" w:space="0" w:color="auto"/>
              <w:right w:val="single" w:sz="4" w:space="0" w:color="auto"/>
            </w:tcBorders>
            <w:vAlign w:val="center"/>
          </w:tcPr>
          <w:p w14:paraId="5E8BA464" w14:textId="77777777" w:rsidR="00CC2587" w:rsidRPr="000210D9" w:rsidRDefault="00CC2587" w:rsidP="00CC2587">
            <w:pPr>
              <w:spacing w:before="120"/>
              <w:jc w:val="right"/>
              <w:rPr>
                <w:rFonts w:asciiTheme="minorHAnsi" w:hAnsiTheme="minorHAnsi"/>
                <w:b/>
                <w:sz w:val="22"/>
              </w:rPr>
            </w:pPr>
            <w:r w:rsidRPr="000210D9">
              <w:rPr>
                <w:rFonts w:asciiTheme="minorHAnsi" w:hAnsiTheme="minorHAnsi"/>
                <w:b/>
                <w:sz w:val="22"/>
              </w:rPr>
              <w:t>To note</w:t>
            </w:r>
          </w:p>
        </w:tc>
        <w:tc>
          <w:tcPr>
            <w:tcW w:w="641" w:type="dxa"/>
            <w:tcBorders>
              <w:top w:val="single" w:sz="4" w:space="0" w:color="auto"/>
              <w:left w:val="single" w:sz="4" w:space="0" w:color="auto"/>
              <w:bottom w:val="single" w:sz="4" w:space="0" w:color="auto"/>
              <w:right w:val="single" w:sz="4" w:space="0" w:color="auto"/>
            </w:tcBorders>
            <w:vAlign w:val="center"/>
          </w:tcPr>
          <w:p w14:paraId="2E2E7D33" w14:textId="1A051554" w:rsidR="00CC2587" w:rsidRPr="000210D9" w:rsidRDefault="00782F0F" w:rsidP="001C3007">
            <w:pPr>
              <w:spacing w:before="120"/>
              <w:ind w:left="0"/>
              <w:rPr>
                <w:rFonts w:asciiTheme="minorHAnsi" w:hAnsiTheme="minorHAnsi"/>
                <w:b/>
                <w:sz w:val="22"/>
              </w:rPr>
            </w:pPr>
            <w:r w:rsidRPr="000210D9">
              <w:rPr>
                <w:rFonts w:asciiTheme="minorHAnsi" w:hAnsiTheme="minorHAnsi"/>
                <w:b/>
                <w:sz w:val="22"/>
              </w:rPr>
              <w:sym w:font="Wingdings" w:char="F0FC"/>
            </w:r>
          </w:p>
        </w:tc>
      </w:tr>
    </w:tbl>
    <w:p w14:paraId="5399B7DD" w14:textId="77777777" w:rsidR="00E34EBF" w:rsidRPr="00F46EE1" w:rsidRDefault="00E34EBF" w:rsidP="000F5D7C">
      <w:pPr>
        <w:rPr>
          <w:rFonts w:asciiTheme="minorHAnsi" w:hAnsiTheme="minorHAnsi"/>
        </w:rPr>
      </w:pPr>
    </w:p>
    <w:p w14:paraId="4B2F79F1" w14:textId="77777777" w:rsidR="00671116" w:rsidRPr="00F46EE1" w:rsidRDefault="00671116" w:rsidP="00210566">
      <w:pPr>
        <w:jc w:val="center"/>
        <w:rPr>
          <w:rFonts w:asciiTheme="minorHAnsi" w:hAnsiTheme="minorHAnsi"/>
          <w:b/>
          <w:sz w:val="20"/>
          <w:szCs w:val="20"/>
        </w:rPr>
        <w:sectPr w:rsidR="00671116" w:rsidRPr="00F46EE1" w:rsidSect="00C67C22">
          <w:headerReference w:type="default" r:id="rId11"/>
          <w:footerReference w:type="default" r:id="rId12"/>
          <w:footerReference w:type="first" r:id="rId13"/>
          <w:pgSz w:w="11906" w:h="16838"/>
          <w:pgMar w:top="1135" w:right="720" w:bottom="720" w:left="720" w:header="708" w:footer="708" w:gutter="0"/>
          <w:cols w:space="708"/>
          <w:titlePg/>
          <w:docGrid w:linePitch="360"/>
        </w:sectPr>
      </w:pPr>
    </w:p>
    <w:tbl>
      <w:tblPr>
        <w:tblStyle w:val="TableGrid"/>
        <w:tblW w:w="10490" w:type="dxa"/>
        <w:tblInd w:w="-743" w:type="dxa"/>
        <w:tblLook w:val="04A0" w:firstRow="1" w:lastRow="0" w:firstColumn="1" w:lastColumn="0" w:noHBand="0" w:noVBand="1"/>
      </w:tblPr>
      <w:tblGrid>
        <w:gridCol w:w="2127"/>
        <w:gridCol w:w="8363"/>
      </w:tblGrid>
      <w:tr w:rsidR="00F3759F" w:rsidRPr="00F46EE1" w14:paraId="1DFC350D" w14:textId="77777777" w:rsidTr="00827C3B">
        <w:tc>
          <w:tcPr>
            <w:tcW w:w="10490" w:type="dxa"/>
            <w:gridSpan w:val="2"/>
          </w:tcPr>
          <w:p w14:paraId="6762DBF5" w14:textId="42D09486" w:rsidR="00F3759F" w:rsidRDefault="00922123" w:rsidP="009A2CD2">
            <w:pPr>
              <w:spacing w:after="0"/>
              <w:ind w:left="0"/>
              <w:jc w:val="center"/>
              <w:rPr>
                <w:rFonts w:asciiTheme="minorHAnsi" w:hAnsiTheme="minorHAnsi" w:cstheme="minorBidi"/>
                <w:b/>
                <w:sz w:val="28"/>
                <w:szCs w:val="28"/>
              </w:rPr>
            </w:pPr>
            <w:r>
              <w:rPr>
                <w:rFonts w:asciiTheme="minorHAnsi" w:hAnsiTheme="minorHAnsi" w:cstheme="minorBidi"/>
                <w:b/>
                <w:sz w:val="28"/>
                <w:szCs w:val="28"/>
              </w:rPr>
              <w:lastRenderedPageBreak/>
              <w:t>AUDIT AND RISK</w:t>
            </w:r>
            <w:r w:rsidR="00F3759F" w:rsidRPr="00F46EE1">
              <w:rPr>
                <w:rFonts w:asciiTheme="minorHAnsi" w:hAnsiTheme="minorHAnsi" w:cstheme="minorBidi"/>
                <w:b/>
                <w:sz w:val="28"/>
                <w:szCs w:val="28"/>
              </w:rPr>
              <w:t xml:space="preserve"> COMMITTEE SUMMARY REPORT – </w:t>
            </w:r>
            <w:r w:rsidR="004472A5">
              <w:rPr>
                <w:rFonts w:asciiTheme="minorHAnsi" w:hAnsiTheme="minorHAnsi" w:cstheme="minorBidi"/>
                <w:b/>
                <w:sz w:val="28"/>
                <w:szCs w:val="28"/>
              </w:rPr>
              <w:t>5</w:t>
            </w:r>
            <w:r w:rsidR="004161BF">
              <w:rPr>
                <w:rFonts w:asciiTheme="minorHAnsi" w:hAnsiTheme="minorHAnsi" w:cstheme="minorBidi"/>
                <w:b/>
                <w:sz w:val="28"/>
                <w:szCs w:val="28"/>
              </w:rPr>
              <w:t xml:space="preserve"> </w:t>
            </w:r>
            <w:r w:rsidR="004472A5">
              <w:rPr>
                <w:rFonts w:asciiTheme="minorHAnsi" w:hAnsiTheme="minorHAnsi" w:cstheme="minorBidi"/>
                <w:b/>
                <w:sz w:val="28"/>
                <w:szCs w:val="28"/>
              </w:rPr>
              <w:t xml:space="preserve">JULY </w:t>
            </w:r>
            <w:r w:rsidR="006476CD">
              <w:rPr>
                <w:rFonts w:asciiTheme="minorHAnsi" w:hAnsiTheme="minorHAnsi" w:cstheme="minorBidi"/>
                <w:b/>
                <w:sz w:val="28"/>
                <w:szCs w:val="28"/>
              </w:rPr>
              <w:t>2022</w:t>
            </w:r>
          </w:p>
          <w:p w14:paraId="7765F886" w14:textId="6F59E995" w:rsidR="00B05DF9" w:rsidRPr="00CA0F92" w:rsidRDefault="00B05DF9" w:rsidP="009A2CD2">
            <w:pPr>
              <w:spacing w:after="0"/>
              <w:ind w:left="0"/>
              <w:jc w:val="center"/>
              <w:rPr>
                <w:rFonts w:asciiTheme="minorHAnsi" w:hAnsiTheme="minorHAnsi" w:cstheme="minorBidi"/>
                <w:b/>
                <w:sz w:val="28"/>
                <w:szCs w:val="28"/>
              </w:rPr>
            </w:pPr>
          </w:p>
        </w:tc>
      </w:tr>
      <w:tr w:rsidR="0054478E" w:rsidRPr="00F46EE1" w14:paraId="647ACAF6" w14:textId="77777777" w:rsidTr="003A7AF7">
        <w:tc>
          <w:tcPr>
            <w:tcW w:w="2127" w:type="dxa"/>
            <w:shd w:val="clear" w:color="auto" w:fill="548DD4" w:themeFill="text2" w:themeFillTint="99"/>
            <w:vAlign w:val="center"/>
          </w:tcPr>
          <w:p w14:paraId="6F8BFDAD" w14:textId="77777777" w:rsidR="0054478E" w:rsidRPr="00F46EE1" w:rsidRDefault="0054478E" w:rsidP="0054478E">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Governance</w:t>
            </w:r>
          </w:p>
          <w:p w14:paraId="688FBA66" w14:textId="77777777" w:rsidR="0054478E" w:rsidRPr="00F46EE1" w:rsidRDefault="0054478E" w:rsidP="0054478E">
            <w:pPr>
              <w:spacing w:after="0"/>
              <w:ind w:left="0"/>
              <w:rPr>
                <w:rFonts w:asciiTheme="minorHAnsi" w:hAnsiTheme="minorHAnsi" w:cstheme="minorBidi"/>
                <w:b/>
                <w:color w:val="FFFFFF" w:themeColor="background1"/>
                <w:szCs w:val="24"/>
              </w:rPr>
            </w:pPr>
          </w:p>
        </w:tc>
        <w:tc>
          <w:tcPr>
            <w:tcW w:w="8363" w:type="dxa"/>
          </w:tcPr>
          <w:p w14:paraId="6CEED243" w14:textId="77777777" w:rsidR="0054478E" w:rsidRPr="00F46EE1" w:rsidRDefault="0054478E" w:rsidP="006F60B1">
            <w:pPr>
              <w:numPr>
                <w:ilvl w:val="0"/>
                <w:numId w:val="2"/>
              </w:numPr>
              <w:spacing w:after="0"/>
              <w:contextualSpacing/>
              <w:rPr>
                <w:rFonts w:asciiTheme="minorHAnsi" w:hAnsiTheme="minorHAnsi" w:cstheme="minorBidi"/>
                <w:sz w:val="22"/>
              </w:rPr>
            </w:pPr>
            <w:r w:rsidRPr="00F46EE1">
              <w:rPr>
                <w:rFonts w:asciiTheme="minorHAnsi" w:hAnsiTheme="minorHAnsi" w:cstheme="minorBidi"/>
                <w:sz w:val="22"/>
              </w:rPr>
              <w:t>Quorate – Yes</w:t>
            </w:r>
          </w:p>
          <w:p w14:paraId="2105542B" w14:textId="0F047205" w:rsidR="00B05DF9" w:rsidRPr="00E23D64" w:rsidRDefault="0054478E" w:rsidP="00E23D64">
            <w:pPr>
              <w:numPr>
                <w:ilvl w:val="0"/>
                <w:numId w:val="2"/>
              </w:numPr>
              <w:spacing w:after="0"/>
              <w:contextualSpacing/>
              <w:rPr>
                <w:rFonts w:asciiTheme="minorHAnsi" w:hAnsiTheme="minorHAnsi" w:cstheme="minorBidi"/>
                <w:sz w:val="22"/>
              </w:rPr>
            </w:pPr>
            <w:r w:rsidRPr="00F46EE1">
              <w:rPr>
                <w:rFonts w:asciiTheme="minorHAnsi" w:hAnsiTheme="minorHAnsi" w:cstheme="minorBidi"/>
                <w:sz w:val="22"/>
              </w:rPr>
              <w:t xml:space="preserve">Attendance (membership) - </w:t>
            </w:r>
            <w:r w:rsidR="009E45B6">
              <w:rPr>
                <w:rFonts w:asciiTheme="minorHAnsi" w:hAnsiTheme="minorHAnsi" w:cstheme="minorBidi"/>
                <w:sz w:val="22"/>
              </w:rPr>
              <w:t>6</w:t>
            </w:r>
            <w:r w:rsidR="00732E5A">
              <w:rPr>
                <w:rFonts w:asciiTheme="minorHAnsi" w:hAnsiTheme="minorHAnsi" w:cstheme="minorBidi"/>
                <w:sz w:val="22"/>
              </w:rPr>
              <w:t>6</w:t>
            </w:r>
            <w:r w:rsidRPr="00F46EE1">
              <w:rPr>
                <w:rFonts w:asciiTheme="minorHAnsi" w:hAnsiTheme="minorHAnsi" w:cstheme="minorBidi"/>
                <w:sz w:val="22"/>
              </w:rPr>
              <w:t>%</w:t>
            </w:r>
          </w:p>
        </w:tc>
      </w:tr>
      <w:tr w:rsidR="00AC3B21" w:rsidRPr="00F46EE1" w14:paraId="3B9187DC" w14:textId="77777777" w:rsidTr="003A7AF7">
        <w:tc>
          <w:tcPr>
            <w:tcW w:w="2127" w:type="dxa"/>
            <w:shd w:val="clear" w:color="auto" w:fill="548DD4" w:themeFill="text2" w:themeFillTint="99"/>
            <w:vAlign w:val="center"/>
          </w:tcPr>
          <w:p w14:paraId="55C93B4C" w14:textId="77777777" w:rsidR="00AC3B21" w:rsidRPr="00F46EE1" w:rsidRDefault="00AC3B21" w:rsidP="00AC3B21">
            <w:pPr>
              <w:spacing w:after="0"/>
              <w:ind w:left="0"/>
              <w:rPr>
                <w:rFonts w:asciiTheme="minorHAnsi" w:hAnsiTheme="minorHAnsi" w:cstheme="minorBidi"/>
                <w:b/>
                <w:color w:val="FFFFFF" w:themeColor="background1"/>
                <w:szCs w:val="24"/>
              </w:rPr>
            </w:pPr>
            <w:bookmarkStart w:id="0" w:name="_Hlk109721242"/>
            <w:r w:rsidRPr="00F46EE1">
              <w:rPr>
                <w:rFonts w:asciiTheme="minorHAnsi" w:hAnsiTheme="minorHAnsi" w:cstheme="minorBidi"/>
                <w:b/>
                <w:color w:val="FFFFFF" w:themeColor="background1"/>
                <w:szCs w:val="24"/>
              </w:rPr>
              <w:t xml:space="preserve">Current activity </w:t>
            </w:r>
          </w:p>
          <w:p w14:paraId="23F4BD16" w14:textId="77777777"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t>(</w:t>
            </w:r>
            <w:proofErr w:type="gramStart"/>
            <w:r w:rsidRPr="00F46EE1">
              <w:rPr>
                <w:rFonts w:asciiTheme="minorHAnsi" w:hAnsiTheme="minorHAnsi" w:cstheme="minorBidi"/>
                <w:b/>
                <w:color w:val="FFFFFF" w:themeColor="background1"/>
                <w:szCs w:val="24"/>
              </w:rPr>
              <w:t>as</w:t>
            </w:r>
            <w:proofErr w:type="gramEnd"/>
            <w:r w:rsidRPr="00F46EE1">
              <w:rPr>
                <w:rFonts w:asciiTheme="minorHAnsi" w:hAnsiTheme="minorHAnsi" w:cstheme="minorBidi"/>
                <w:b/>
                <w:color w:val="FFFFFF" w:themeColor="background1"/>
                <w:szCs w:val="24"/>
              </w:rPr>
              <w:t xml:space="preserve"> at date of meeting)</w:t>
            </w:r>
          </w:p>
        </w:tc>
        <w:tc>
          <w:tcPr>
            <w:tcW w:w="8363" w:type="dxa"/>
          </w:tcPr>
          <w:p w14:paraId="04DFFE8A" w14:textId="2AFFC076" w:rsidR="00684618" w:rsidRDefault="00A35FD2" w:rsidP="00684618">
            <w:pPr>
              <w:pStyle w:val="NoSpacing"/>
              <w:jc w:val="both"/>
              <w:rPr>
                <w:b/>
                <w:i/>
                <w:u w:val="single"/>
              </w:rPr>
            </w:pPr>
            <w:r>
              <w:rPr>
                <w:b/>
                <w:i/>
                <w:u w:val="single"/>
              </w:rPr>
              <w:t>Internal audit</w:t>
            </w:r>
          </w:p>
          <w:p w14:paraId="479CF33D" w14:textId="01F33969" w:rsidR="00142C92" w:rsidRDefault="00F17E3E" w:rsidP="00F17E3E">
            <w:pPr>
              <w:pStyle w:val="NoSpacing"/>
              <w:jc w:val="both"/>
              <w:rPr>
                <w:bCs/>
                <w:iCs/>
                <w:u w:val="single"/>
              </w:rPr>
            </w:pPr>
            <w:r w:rsidRPr="00F17E3E">
              <w:rPr>
                <w:bCs/>
                <w:iCs/>
                <w:u w:val="single"/>
              </w:rPr>
              <w:t>Progress report</w:t>
            </w:r>
          </w:p>
          <w:p w14:paraId="65B2B00B" w14:textId="659AC455" w:rsidR="00910682" w:rsidRDefault="003168FA" w:rsidP="003168FA">
            <w:pPr>
              <w:pStyle w:val="NoSpacing"/>
              <w:numPr>
                <w:ilvl w:val="0"/>
                <w:numId w:val="2"/>
              </w:numPr>
              <w:jc w:val="both"/>
              <w:rPr>
                <w:bCs/>
                <w:iCs/>
              </w:rPr>
            </w:pPr>
            <w:bookmarkStart w:id="1" w:name="_Hlk109721180"/>
            <w:r w:rsidRPr="003168FA">
              <w:rPr>
                <w:bCs/>
                <w:iCs/>
              </w:rPr>
              <w:t>The committ</w:t>
            </w:r>
            <w:r w:rsidR="00431485">
              <w:rPr>
                <w:bCs/>
                <w:iCs/>
              </w:rPr>
              <w:t>e</w:t>
            </w:r>
            <w:r w:rsidRPr="003168FA">
              <w:rPr>
                <w:bCs/>
                <w:iCs/>
              </w:rPr>
              <w:t xml:space="preserve">e received a progress report </w:t>
            </w:r>
            <w:r w:rsidR="00910682">
              <w:rPr>
                <w:bCs/>
                <w:iCs/>
              </w:rPr>
              <w:t>which outlined that as part of the 2022/23 audit plan, three reports had been finalised: the first was the IT strategy, which had received partial assurance. The second was in relation to the management of projects on diagnostic hubs, which received reasonable assurance and the third was in relation to the management of project</w:t>
            </w:r>
            <w:r w:rsidR="008507A4">
              <w:rPr>
                <w:bCs/>
                <w:iCs/>
              </w:rPr>
              <w:t>s</w:t>
            </w:r>
            <w:r w:rsidR="00910682">
              <w:rPr>
                <w:bCs/>
                <w:iCs/>
              </w:rPr>
              <w:t xml:space="preserve"> on digital platforms, which received minimal assurance.</w:t>
            </w:r>
          </w:p>
          <w:p w14:paraId="04E18E5F" w14:textId="53FBA009" w:rsidR="00910682" w:rsidRDefault="008026C4" w:rsidP="003168FA">
            <w:pPr>
              <w:pStyle w:val="NoSpacing"/>
              <w:numPr>
                <w:ilvl w:val="0"/>
                <w:numId w:val="2"/>
              </w:numPr>
              <w:jc w:val="both"/>
              <w:rPr>
                <w:bCs/>
                <w:iCs/>
              </w:rPr>
            </w:pPr>
            <w:r>
              <w:rPr>
                <w:bCs/>
                <w:iCs/>
              </w:rPr>
              <w:t xml:space="preserve">Committee members raised concerns that the trust had failed to learn lessons from previous failed projects and requested assurance that this would be improved. The committee received an update from the associate director of excellence delivery on how the excellence programme would improve project performance. </w:t>
            </w:r>
          </w:p>
          <w:p w14:paraId="7E69365C" w14:textId="1B00833B" w:rsidR="003168FA" w:rsidRPr="008026C4" w:rsidRDefault="003168FA" w:rsidP="008026C4">
            <w:pPr>
              <w:pStyle w:val="NoSpacing"/>
              <w:numPr>
                <w:ilvl w:val="0"/>
                <w:numId w:val="2"/>
              </w:numPr>
              <w:jc w:val="both"/>
              <w:rPr>
                <w:bCs/>
                <w:iCs/>
              </w:rPr>
            </w:pPr>
            <w:r w:rsidRPr="008026C4">
              <w:rPr>
                <w:bCs/>
                <w:iCs/>
              </w:rPr>
              <w:t>RSM advised that draft reports had</w:t>
            </w:r>
            <w:r w:rsidR="008026C4">
              <w:rPr>
                <w:bCs/>
                <w:iCs/>
              </w:rPr>
              <w:t xml:space="preserve"> also</w:t>
            </w:r>
            <w:r w:rsidRPr="008026C4">
              <w:rPr>
                <w:bCs/>
                <w:iCs/>
              </w:rPr>
              <w:t xml:space="preserve"> been issued </w:t>
            </w:r>
            <w:r w:rsidR="008507A4">
              <w:rPr>
                <w:bCs/>
                <w:iCs/>
              </w:rPr>
              <w:t xml:space="preserve">focusing on </w:t>
            </w:r>
            <w:r w:rsidRPr="008026C4">
              <w:rPr>
                <w:bCs/>
                <w:iCs/>
              </w:rPr>
              <w:t>Rostering, UAE Review and Data Security &amp; Protection Toolkit and scopes were being discussed and agreed with the respective executive lead for the remaining reviews on the plan</w:t>
            </w:r>
            <w:bookmarkEnd w:id="1"/>
            <w:r w:rsidRPr="008026C4">
              <w:rPr>
                <w:bCs/>
                <w:iCs/>
              </w:rPr>
              <w:t>.</w:t>
            </w:r>
          </w:p>
          <w:p w14:paraId="4B0EB035" w14:textId="77777777" w:rsidR="00F165C0" w:rsidRPr="00F165C0" w:rsidRDefault="00F165C0" w:rsidP="00F165C0">
            <w:pPr>
              <w:pStyle w:val="NoSpacing"/>
              <w:ind w:left="360"/>
              <w:jc w:val="both"/>
              <w:rPr>
                <w:bCs/>
                <w:iCs/>
              </w:rPr>
            </w:pPr>
          </w:p>
          <w:p w14:paraId="76EBE8CD" w14:textId="0A4E696C" w:rsidR="006F6E94" w:rsidRDefault="006F6E94" w:rsidP="006F6E94">
            <w:pPr>
              <w:pStyle w:val="NoSpacing"/>
              <w:jc w:val="both"/>
              <w:rPr>
                <w:b/>
                <w:i/>
                <w:u w:val="single"/>
              </w:rPr>
            </w:pPr>
            <w:r>
              <w:rPr>
                <w:b/>
                <w:i/>
                <w:u w:val="single"/>
              </w:rPr>
              <w:t>External audit</w:t>
            </w:r>
          </w:p>
          <w:p w14:paraId="534F046C" w14:textId="3FBAAB79" w:rsidR="006F6E94" w:rsidRPr="00F17E3E" w:rsidRDefault="00F165C0" w:rsidP="006F6E94">
            <w:pPr>
              <w:pStyle w:val="NoSpacing"/>
              <w:jc w:val="both"/>
              <w:rPr>
                <w:bCs/>
                <w:iCs/>
                <w:u w:val="single"/>
              </w:rPr>
            </w:pPr>
            <w:r>
              <w:rPr>
                <w:bCs/>
                <w:iCs/>
                <w:u w:val="single"/>
              </w:rPr>
              <w:t>VFM report</w:t>
            </w:r>
          </w:p>
          <w:p w14:paraId="7AAADE52" w14:textId="4CFE9D97" w:rsidR="00007C15" w:rsidRPr="008026C4" w:rsidRDefault="00007C15" w:rsidP="00F165C0">
            <w:pPr>
              <w:pStyle w:val="NoSpacing"/>
              <w:numPr>
                <w:ilvl w:val="0"/>
                <w:numId w:val="2"/>
              </w:numPr>
              <w:jc w:val="both"/>
              <w:rPr>
                <w:bCs/>
                <w:iCs/>
              </w:rPr>
            </w:pPr>
            <w:bookmarkStart w:id="2" w:name="_Hlk101375273"/>
            <w:bookmarkStart w:id="3" w:name="_Hlk109721206"/>
            <w:r w:rsidRPr="008026C4">
              <w:rPr>
                <w:bCs/>
                <w:iCs/>
              </w:rPr>
              <w:t>The committee received the Auditor’s Annual Report for the period 2021/22.</w:t>
            </w:r>
          </w:p>
          <w:p w14:paraId="69E688AA" w14:textId="277EA198" w:rsidR="00450BF3" w:rsidRPr="000E166B" w:rsidRDefault="00450BF3" w:rsidP="00F165C0">
            <w:pPr>
              <w:pStyle w:val="NoSpacing"/>
              <w:numPr>
                <w:ilvl w:val="0"/>
                <w:numId w:val="2"/>
              </w:numPr>
              <w:jc w:val="both"/>
              <w:rPr>
                <w:bCs/>
                <w:iCs/>
              </w:rPr>
            </w:pPr>
            <w:r w:rsidRPr="000E166B">
              <w:rPr>
                <w:bCs/>
                <w:iCs/>
              </w:rPr>
              <w:t>Grant Thor</w:t>
            </w:r>
            <w:r w:rsidR="0099795E" w:rsidRPr="000E166B">
              <w:rPr>
                <w:bCs/>
                <w:iCs/>
              </w:rPr>
              <w:t>n</w:t>
            </w:r>
            <w:r w:rsidRPr="000E166B">
              <w:rPr>
                <w:bCs/>
                <w:iCs/>
              </w:rPr>
              <w:t xml:space="preserve">ton advised that the trust had no indications of potential significant weaknesses in relation to </w:t>
            </w:r>
            <w:r w:rsidR="008507A4">
              <w:rPr>
                <w:bCs/>
                <w:iCs/>
              </w:rPr>
              <w:t>f</w:t>
            </w:r>
            <w:r w:rsidRPr="000E166B">
              <w:rPr>
                <w:bCs/>
                <w:iCs/>
              </w:rPr>
              <w:t xml:space="preserve">inancial sustainability, </w:t>
            </w:r>
            <w:r w:rsidR="008507A4">
              <w:rPr>
                <w:bCs/>
                <w:iCs/>
              </w:rPr>
              <w:t>g</w:t>
            </w:r>
            <w:r w:rsidRPr="000E166B">
              <w:rPr>
                <w:bCs/>
                <w:iCs/>
              </w:rPr>
              <w:t xml:space="preserve">overnance or </w:t>
            </w:r>
            <w:r w:rsidR="008507A4">
              <w:rPr>
                <w:bCs/>
                <w:iCs/>
              </w:rPr>
              <w:t>i</w:t>
            </w:r>
            <w:r w:rsidRPr="000E166B">
              <w:rPr>
                <w:bCs/>
                <w:iCs/>
              </w:rPr>
              <w:t>mproving economy, efficien</w:t>
            </w:r>
            <w:r w:rsidR="000C7E4F" w:rsidRPr="000E166B">
              <w:rPr>
                <w:bCs/>
                <w:iCs/>
              </w:rPr>
              <w:t>cy</w:t>
            </w:r>
            <w:r w:rsidRPr="000E166B">
              <w:rPr>
                <w:bCs/>
                <w:iCs/>
              </w:rPr>
              <w:t xml:space="preserve"> and effectiveness. Improvement recommendations were raised but no key recommendations were suggested.</w:t>
            </w:r>
          </w:p>
          <w:bookmarkEnd w:id="3"/>
          <w:p w14:paraId="14EA2FAA" w14:textId="7733568F" w:rsidR="00F165C0" w:rsidRPr="000E166B" w:rsidRDefault="00F165C0" w:rsidP="00450BF3">
            <w:pPr>
              <w:pStyle w:val="NoSpacing"/>
              <w:ind w:left="360"/>
              <w:jc w:val="both"/>
              <w:rPr>
                <w:bCs/>
                <w:iCs/>
              </w:rPr>
            </w:pPr>
          </w:p>
          <w:p w14:paraId="53DB0567" w14:textId="77777777" w:rsidR="0022517F" w:rsidRPr="000E166B" w:rsidRDefault="0022517F" w:rsidP="0022517F">
            <w:pPr>
              <w:pStyle w:val="NoSpacing"/>
              <w:jc w:val="both"/>
              <w:rPr>
                <w:b/>
                <w:i/>
                <w:u w:val="single"/>
              </w:rPr>
            </w:pPr>
            <w:bookmarkStart w:id="4" w:name="_Hlk109721222"/>
            <w:r w:rsidRPr="000E166B">
              <w:rPr>
                <w:b/>
                <w:i/>
                <w:u w:val="single"/>
              </w:rPr>
              <w:t>Consultant job planning</w:t>
            </w:r>
          </w:p>
          <w:p w14:paraId="3B1AA88F" w14:textId="062DECA7" w:rsidR="008026C4" w:rsidRPr="000E166B" w:rsidRDefault="0022517F" w:rsidP="0022517F">
            <w:pPr>
              <w:pStyle w:val="NoSpacing"/>
              <w:numPr>
                <w:ilvl w:val="0"/>
                <w:numId w:val="2"/>
              </w:numPr>
              <w:jc w:val="both"/>
              <w:rPr>
                <w:bCs/>
                <w:iCs/>
              </w:rPr>
            </w:pPr>
            <w:r w:rsidRPr="000E166B">
              <w:rPr>
                <w:bCs/>
                <w:iCs/>
              </w:rPr>
              <w:t>The committee rece</w:t>
            </w:r>
            <w:r w:rsidR="00431485">
              <w:rPr>
                <w:bCs/>
                <w:iCs/>
              </w:rPr>
              <w:t>i</w:t>
            </w:r>
            <w:r w:rsidRPr="000E166B">
              <w:rPr>
                <w:bCs/>
                <w:iCs/>
              </w:rPr>
              <w:t xml:space="preserve">ved an update that </w:t>
            </w:r>
            <w:r w:rsidR="008026C4" w:rsidRPr="000E166B">
              <w:rPr>
                <w:bCs/>
                <w:iCs/>
              </w:rPr>
              <w:t>job planning was around the 93% level.</w:t>
            </w:r>
          </w:p>
          <w:p w14:paraId="5D194F2D" w14:textId="58F57545" w:rsidR="008507A4" w:rsidRDefault="008026C4" w:rsidP="0022517F">
            <w:pPr>
              <w:pStyle w:val="NoSpacing"/>
              <w:numPr>
                <w:ilvl w:val="0"/>
                <w:numId w:val="2"/>
              </w:numPr>
              <w:jc w:val="both"/>
              <w:rPr>
                <w:bCs/>
                <w:iCs/>
              </w:rPr>
            </w:pPr>
            <w:r w:rsidRPr="000E166B">
              <w:rPr>
                <w:bCs/>
                <w:iCs/>
              </w:rPr>
              <w:t>The team had sat down with each of the service directors to go through individual job plans for each person in their service,</w:t>
            </w:r>
            <w:r w:rsidR="008507A4">
              <w:rPr>
                <w:bCs/>
                <w:iCs/>
              </w:rPr>
              <w:t xml:space="preserve"> once the final three teams had completed the process, there would be a baseline position in place for the entire trust, which could then be further refined. </w:t>
            </w:r>
          </w:p>
          <w:p w14:paraId="6BB5E055" w14:textId="77777777" w:rsidR="0022517F" w:rsidRPr="000E166B" w:rsidRDefault="0022517F" w:rsidP="00F165C0">
            <w:pPr>
              <w:pStyle w:val="NoSpacing"/>
              <w:jc w:val="both"/>
              <w:rPr>
                <w:b/>
                <w:i/>
                <w:u w:val="single"/>
              </w:rPr>
            </w:pPr>
          </w:p>
          <w:p w14:paraId="6BAAD2C1" w14:textId="5EF08531" w:rsidR="00F165C0" w:rsidRPr="000E166B" w:rsidRDefault="0022517F" w:rsidP="00F165C0">
            <w:pPr>
              <w:pStyle w:val="NoSpacing"/>
              <w:jc w:val="both"/>
              <w:rPr>
                <w:b/>
                <w:i/>
                <w:u w:val="single"/>
              </w:rPr>
            </w:pPr>
            <w:r w:rsidRPr="000E166B">
              <w:rPr>
                <w:b/>
                <w:i/>
                <w:u w:val="single"/>
              </w:rPr>
              <w:t>Salary overpayments</w:t>
            </w:r>
          </w:p>
          <w:p w14:paraId="3D6F2222" w14:textId="03B98C70" w:rsidR="00007C15" w:rsidRPr="000E166B" w:rsidRDefault="00007C15" w:rsidP="00007C15">
            <w:pPr>
              <w:pStyle w:val="NoSpacing"/>
              <w:numPr>
                <w:ilvl w:val="0"/>
                <w:numId w:val="2"/>
              </w:numPr>
              <w:jc w:val="both"/>
              <w:rPr>
                <w:bCs/>
                <w:iCs/>
              </w:rPr>
            </w:pPr>
            <w:r w:rsidRPr="000E166B">
              <w:rPr>
                <w:bCs/>
                <w:iCs/>
              </w:rPr>
              <w:t xml:space="preserve">The committee were </w:t>
            </w:r>
            <w:r w:rsidR="000E166B" w:rsidRPr="000E166B">
              <w:rPr>
                <w:bCs/>
                <w:iCs/>
              </w:rPr>
              <w:t>updated that the trend in overpayments had reduced by £150k from May 2021 and the target was to understand what the tolerable level was for the trust.</w:t>
            </w:r>
          </w:p>
          <w:p w14:paraId="004D5AF1" w14:textId="6D05D553" w:rsidR="000E166B" w:rsidRPr="000E166B" w:rsidRDefault="000E166B" w:rsidP="00007C15">
            <w:pPr>
              <w:pStyle w:val="NoSpacing"/>
              <w:numPr>
                <w:ilvl w:val="0"/>
                <w:numId w:val="2"/>
              </w:numPr>
              <w:jc w:val="both"/>
              <w:rPr>
                <w:bCs/>
                <w:iCs/>
              </w:rPr>
            </w:pPr>
            <w:r w:rsidRPr="000E166B">
              <w:rPr>
                <w:bCs/>
                <w:iCs/>
              </w:rPr>
              <w:t>The committee requested a further update in six months.</w:t>
            </w:r>
          </w:p>
          <w:bookmarkEnd w:id="4"/>
          <w:p w14:paraId="38BF38C3" w14:textId="77777777" w:rsidR="0022517F" w:rsidRPr="000E166B" w:rsidRDefault="0022517F" w:rsidP="00F165C0">
            <w:pPr>
              <w:pStyle w:val="NoSpacing"/>
              <w:jc w:val="both"/>
              <w:rPr>
                <w:bCs/>
                <w:iCs/>
              </w:rPr>
            </w:pPr>
          </w:p>
          <w:p w14:paraId="43ECE0D7" w14:textId="43A750E9" w:rsidR="00C166AC" w:rsidRPr="00C166AC" w:rsidRDefault="00C166AC" w:rsidP="00C166AC">
            <w:pPr>
              <w:pStyle w:val="NoSpacing"/>
              <w:jc w:val="both"/>
              <w:rPr>
                <w:b/>
                <w:bCs/>
                <w:i/>
                <w:iCs/>
                <w:u w:val="single"/>
              </w:rPr>
            </w:pPr>
            <w:r w:rsidRPr="000E166B">
              <w:rPr>
                <w:rFonts w:ascii="Calibri" w:eastAsia="Calibri" w:hAnsi="Calibri" w:cs="Calibri"/>
                <w:b/>
                <w:bCs/>
                <w:i/>
                <w:iCs/>
                <w:u w:val="single"/>
                <w:lang w:val="en-US"/>
              </w:rPr>
              <w:t>Local Counter Fraud Progress Report</w:t>
            </w:r>
          </w:p>
          <w:bookmarkEnd w:id="2"/>
          <w:p w14:paraId="2CBB95BE" w14:textId="7CB0A2AA" w:rsidR="00F8145A" w:rsidRDefault="00F8145A" w:rsidP="001403C5">
            <w:pPr>
              <w:pStyle w:val="NoSpacing"/>
              <w:numPr>
                <w:ilvl w:val="0"/>
                <w:numId w:val="2"/>
              </w:numPr>
              <w:jc w:val="both"/>
              <w:rPr>
                <w:bCs/>
                <w:iCs/>
              </w:rPr>
            </w:pPr>
            <w:r>
              <w:rPr>
                <w:bCs/>
                <w:iCs/>
              </w:rPr>
              <w:t>The committee received a progress report setting out activity since the last meeting.</w:t>
            </w:r>
          </w:p>
          <w:p w14:paraId="1F5D3D69" w14:textId="57FD195F" w:rsidR="00F434FD" w:rsidRDefault="00F434FD" w:rsidP="001403C5">
            <w:pPr>
              <w:pStyle w:val="NoSpacing"/>
              <w:numPr>
                <w:ilvl w:val="0"/>
                <w:numId w:val="2"/>
              </w:numPr>
              <w:jc w:val="both"/>
              <w:rPr>
                <w:bCs/>
                <w:iCs/>
              </w:rPr>
            </w:pPr>
            <w:r>
              <w:rPr>
                <w:bCs/>
                <w:iCs/>
              </w:rPr>
              <w:t>The proactive exercise in relation to the declaration of gifts or spon</w:t>
            </w:r>
            <w:r w:rsidR="008507A4">
              <w:rPr>
                <w:bCs/>
                <w:iCs/>
              </w:rPr>
              <w:t>s</w:t>
            </w:r>
            <w:r>
              <w:rPr>
                <w:bCs/>
                <w:iCs/>
              </w:rPr>
              <w:t>orship from the Pharma</w:t>
            </w:r>
            <w:r w:rsidR="00431485">
              <w:rPr>
                <w:bCs/>
                <w:iCs/>
              </w:rPr>
              <w:t>c</w:t>
            </w:r>
            <w:r>
              <w:rPr>
                <w:bCs/>
                <w:iCs/>
              </w:rPr>
              <w:t>eutical industry was now concluded.</w:t>
            </w:r>
          </w:p>
          <w:p w14:paraId="5715F627" w14:textId="748798E0" w:rsidR="00F434FD" w:rsidRDefault="00F434FD" w:rsidP="00F434FD">
            <w:pPr>
              <w:pStyle w:val="NoSpacing"/>
              <w:numPr>
                <w:ilvl w:val="0"/>
                <w:numId w:val="2"/>
              </w:numPr>
              <w:jc w:val="both"/>
              <w:rPr>
                <w:bCs/>
                <w:iCs/>
              </w:rPr>
            </w:pPr>
            <w:r>
              <w:rPr>
                <w:bCs/>
                <w:iCs/>
              </w:rPr>
              <w:t>RSM delivered a bespoke fraud and bribery awareness session to Band 7 nurses.</w:t>
            </w:r>
          </w:p>
          <w:p w14:paraId="61811576" w14:textId="6118067F" w:rsidR="00DC0188" w:rsidRDefault="00F434FD" w:rsidP="00F434FD">
            <w:pPr>
              <w:pStyle w:val="NoSpacing"/>
              <w:numPr>
                <w:ilvl w:val="0"/>
                <w:numId w:val="2"/>
              </w:numPr>
              <w:jc w:val="both"/>
              <w:rPr>
                <w:bCs/>
                <w:iCs/>
              </w:rPr>
            </w:pPr>
            <w:r>
              <w:rPr>
                <w:bCs/>
                <w:iCs/>
              </w:rPr>
              <w:t>RSM reviewed the trust’s compliance with NHSCFA requirements and submitted an overall green rating.</w:t>
            </w:r>
          </w:p>
          <w:p w14:paraId="71BE19A4" w14:textId="3FA43609" w:rsidR="008507A4" w:rsidRPr="00F434FD" w:rsidRDefault="008507A4" w:rsidP="00F434FD">
            <w:pPr>
              <w:pStyle w:val="NoSpacing"/>
              <w:numPr>
                <w:ilvl w:val="0"/>
                <w:numId w:val="2"/>
              </w:numPr>
              <w:jc w:val="both"/>
              <w:rPr>
                <w:bCs/>
                <w:iCs/>
              </w:rPr>
            </w:pPr>
            <w:r>
              <w:rPr>
                <w:bCs/>
                <w:iCs/>
              </w:rPr>
              <w:t xml:space="preserve">The governance team were </w:t>
            </w:r>
            <w:r w:rsidR="00431485">
              <w:rPr>
                <w:bCs/>
                <w:iCs/>
              </w:rPr>
              <w:t>due to be reaching</w:t>
            </w:r>
            <w:r>
              <w:rPr>
                <w:bCs/>
                <w:iCs/>
              </w:rPr>
              <w:t xml:space="preserve"> out to consultants listed on the AB</w:t>
            </w:r>
            <w:r w:rsidR="00492056">
              <w:rPr>
                <w:bCs/>
                <w:iCs/>
              </w:rPr>
              <w:t>PI register to ask them to make retrospective declarations. RSM advised that the trust was not an outlier for this report.</w:t>
            </w:r>
          </w:p>
          <w:p w14:paraId="2F74EC3D" w14:textId="77777777" w:rsidR="001403C5" w:rsidRPr="00D557E9" w:rsidRDefault="001403C5" w:rsidP="001403C5">
            <w:pPr>
              <w:pStyle w:val="NoSpacing"/>
              <w:jc w:val="both"/>
              <w:rPr>
                <w:bCs/>
                <w:iCs/>
              </w:rPr>
            </w:pPr>
          </w:p>
          <w:p w14:paraId="3F4730F4" w14:textId="663B88B5" w:rsidR="00A35FD2" w:rsidRDefault="00F165C0" w:rsidP="00F434FD">
            <w:pPr>
              <w:pStyle w:val="NoSpacing"/>
              <w:jc w:val="both"/>
              <w:rPr>
                <w:b/>
                <w:i/>
                <w:u w:val="single"/>
              </w:rPr>
            </w:pPr>
            <w:r>
              <w:rPr>
                <w:b/>
                <w:i/>
                <w:u w:val="single"/>
              </w:rPr>
              <w:t>Physical security annual report</w:t>
            </w:r>
          </w:p>
          <w:p w14:paraId="14F86EA2" w14:textId="3A9CF2A5" w:rsidR="00F434FD" w:rsidRPr="00007C15" w:rsidRDefault="00F434FD" w:rsidP="00007C15">
            <w:pPr>
              <w:pStyle w:val="NoSpacing"/>
              <w:numPr>
                <w:ilvl w:val="0"/>
                <w:numId w:val="2"/>
              </w:numPr>
              <w:jc w:val="both"/>
              <w:rPr>
                <w:bCs/>
                <w:iCs/>
              </w:rPr>
            </w:pPr>
            <w:r w:rsidRPr="00007C15">
              <w:rPr>
                <w:bCs/>
                <w:iCs/>
              </w:rPr>
              <w:lastRenderedPageBreak/>
              <w:t>The committee received an update on the security review for the period of April 2021 – March 2022</w:t>
            </w:r>
            <w:r w:rsidR="00007C15">
              <w:rPr>
                <w:bCs/>
                <w:iCs/>
              </w:rPr>
              <w:t xml:space="preserve"> and a comparison of reported verbal abuse incidents and other threatening behaviour pre and post the Covid-19 pandemic.</w:t>
            </w:r>
          </w:p>
          <w:p w14:paraId="57F6310E" w14:textId="1AC4CEFD" w:rsidR="008D5073" w:rsidRDefault="008D5073" w:rsidP="008D5073">
            <w:pPr>
              <w:pStyle w:val="NoSpacing"/>
              <w:jc w:val="both"/>
              <w:rPr>
                <w:bCs/>
                <w:iCs/>
              </w:rPr>
            </w:pPr>
          </w:p>
          <w:p w14:paraId="0496735C" w14:textId="26ABD21A" w:rsidR="008D5073" w:rsidRDefault="008D5073" w:rsidP="008D5073">
            <w:pPr>
              <w:pStyle w:val="NoSpacing"/>
              <w:jc w:val="both"/>
              <w:rPr>
                <w:b/>
                <w:i/>
                <w:u w:val="single"/>
              </w:rPr>
            </w:pPr>
            <w:r>
              <w:rPr>
                <w:b/>
                <w:i/>
                <w:u w:val="single"/>
              </w:rPr>
              <w:t>Board assurance framework</w:t>
            </w:r>
          </w:p>
          <w:p w14:paraId="28A7E88B" w14:textId="00C9293E" w:rsidR="00091A7A" w:rsidRDefault="00091A7A" w:rsidP="00D26099">
            <w:pPr>
              <w:pStyle w:val="NoSpacing"/>
              <w:numPr>
                <w:ilvl w:val="0"/>
                <w:numId w:val="2"/>
              </w:numPr>
              <w:jc w:val="both"/>
              <w:rPr>
                <w:bCs/>
                <w:iCs/>
              </w:rPr>
            </w:pPr>
            <w:r>
              <w:rPr>
                <w:bCs/>
                <w:iCs/>
              </w:rPr>
              <w:t>The committee were provided with an update on the Q1 2022/23 period for the BAF and corporate risk register.</w:t>
            </w:r>
          </w:p>
          <w:p w14:paraId="403FD61D" w14:textId="3F33FE22" w:rsidR="00091A7A" w:rsidRDefault="00091A7A" w:rsidP="00D26099">
            <w:pPr>
              <w:pStyle w:val="NoSpacing"/>
              <w:numPr>
                <w:ilvl w:val="0"/>
                <w:numId w:val="2"/>
              </w:numPr>
              <w:jc w:val="both"/>
              <w:rPr>
                <w:bCs/>
                <w:iCs/>
              </w:rPr>
            </w:pPr>
            <w:r>
              <w:rPr>
                <w:bCs/>
                <w:iCs/>
              </w:rPr>
              <w:t>The Covid score was reduced from 16 to 9 and the target score from 8 to 6. This was due to the silver command structure being stood down as the trust reverts to a BAU position. Proportionate IPC measures continue to remain in place and the score may reduce or be removed entirely in the next quarter.</w:t>
            </w:r>
          </w:p>
          <w:p w14:paraId="48A92C6E" w14:textId="0CD08A47" w:rsidR="00091A7A" w:rsidRDefault="00091A7A" w:rsidP="00D26099">
            <w:pPr>
              <w:pStyle w:val="NoSpacing"/>
              <w:numPr>
                <w:ilvl w:val="0"/>
                <w:numId w:val="2"/>
              </w:numPr>
              <w:jc w:val="both"/>
              <w:rPr>
                <w:bCs/>
                <w:iCs/>
              </w:rPr>
            </w:pPr>
            <w:r>
              <w:rPr>
                <w:bCs/>
                <w:iCs/>
              </w:rPr>
              <w:t>The research funding score was reduced from 15 to 10 as the BRC and CRF risks were not deemed as high and will be updated further in the next quarter.</w:t>
            </w:r>
          </w:p>
          <w:p w14:paraId="45AF470C" w14:textId="4FF6CC6A" w:rsidR="00091A7A" w:rsidRDefault="00091A7A" w:rsidP="00D26099">
            <w:pPr>
              <w:pStyle w:val="NoSpacing"/>
              <w:numPr>
                <w:ilvl w:val="0"/>
                <w:numId w:val="2"/>
              </w:numPr>
              <w:jc w:val="both"/>
              <w:rPr>
                <w:bCs/>
                <w:iCs/>
              </w:rPr>
            </w:pPr>
            <w:r>
              <w:rPr>
                <w:bCs/>
                <w:iCs/>
              </w:rPr>
              <w:t xml:space="preserve">The recovery of clinical services risk </w:t>
            </w:r>
            <w:r w:rsidR="00D26099">
              <w:rPr>
                <w:bCs/>
                <w:iCs/>
              </w:rPr>
              <w:t>was reduced from 12 to 8 as the trust has made good progress in respect of the recovery post Covid-19, particularly in relation to patient follow ups but more work was required in relation to new patients.</w:t>
            </w:r>
          </w:p>
          <w:p w14:paraId="4A0CE66F" w14:textId="327329AE" w:rsidR="00D26099" w:rsidRPr="00091A7A" w:rsidRDefault="00D26099" w:rsidP="00D26099">
            <w:pPr>
              <w:pStyle w:val="NoSpacing"/>
              <w:numPr>
                <w:ilvl w:val="0"/>
                <w:numId w:val="2"/>
              </w:numPr>
              <w:jc w:val="both"/>
              <w:rPr>
                <w:bCs/>
                <w:iCs/>
              </w:rPr>
            </w:pPr>
            <w:r>
              <w:rPr>
                <w:bCs/>
                <w:iCs/>
              </w:rPr>
              <w:t>No risks were added or removed from the BAF for Q1 2022/23.</w:t>
            </w:r>
          </w:p>
          <w:p w14:paraId="65BB7AE0" w14:textId="77777777" w:rsidR="00F165C0" w:rsidRDefault="00F165C0" w:rsidP="004A2BB4">
            <w:pPr>
              <w:spacing w:after="0"/>
              <w:ind w:left="0"/>
              <w:jc w:val="both"/>
            </w:pPr>
          </w:p>
          <w:p w14:paraId="0D4E4CCE" w14:textId="37041570" w:rsidR="00F50E2C" w:rsidRDefault="00F50E2C" w:rsidP="004A2BB4">
            <w:pPr>
              <w:pStyle w:val="NoSpacing"/>
              <w:jc w:val="both"/>
              <w:rPr>
                <w:b/>
                <w:i/>
                <w:u w:val="single"/>
              </w:rPr>
            </w:pPr>
            <w:r>
              <w:rPr>
                <w:b/>
                <w:i/>
                <w:u w:val="single"/>
              </w:rPr>
              <w:t>Waivers to Standing Financial Instructions</w:t>
            </w:r>
          </w:p>
          <w:p w14:paraId="22DAE9E6" w14:textId="77777777" w:rsidR="00C05282" w:rsidRDefault="00263FC0" w:rsidP="00C05282">
            <w:pPr>
              <w:pStyle w:val="NoSpacing"/>
              <w:numPr>
                <w:ilvl w:val="0"/>
                <w:numId w:val="2"/>
              </w:numPr>
              <w:jc w:val="both"/>
              <w:rPr>
                <w:bCs/>
                <w:iCs/>
              </w:rPr>
            </w:pPr>
            <w:r w:rsidRPr="00263FC0">
              <w:rPr>
                <w:bCs/>
                <w:iCs/>
              </w:rPr>
              <w:t xml:space="preserve">The committee received a report outlining the waivers </w:t>
            </w:r>
            <w:r w:rsidR="00C05282">
              <w:rPr>
                <w:bCs/>
                <w:iCs/>
              </w:rPr>
              <w:t>for the period April 2021 to March 2022 and April to May 2022.</w:t>
            </w:r>
          </w:p>
          <w:p w14:paraId="1675CBA0" w14:textId="043AF08E" w:rsidR="00C05282" w:rsidRDefault="00C05282" w:rsidP="00C05282">
            <w:pPr>
              <w:pStyle w:val="NoSpacing"/>
              <w:numPr>
                <w:ilvl w:val="0"/>
                <w:numId w:val="2"/>
              </w:numPr>
              <w:jc w:val="both"/>
              <w:rPr>
                <w:bCs/>
                <w:iCs/>
              </w:rPr>
            </w:pPr>
            <w:r>
              <w:rPr>
                <w:bCs/>
                <w:iCs/>
              </w:rPr>
              <w:t>As at 31 May, the volume of waivers for 2021/22 and this financial year was 151, totalling £4.673m</w:t>
            </w:r>
            <w:r w:rsidR="002E1E8F">
              <w:rPr>
                <w:bCs/>
                <w:iCs/>
              </w:rPr>
              <w:t>.</w:t>
            </w:r>
          </w:p>
          <w:p w14:paraId="6598AF07" w14:textId="0BC1E424" w:rsidR="00263FC0" w:rsidRPr="00C05282" w:rsidRDefault="00C05282" w:rsidP="00C05282">
            <w:pPr>
              <w:pStyle w:val="NoSpacing"/>
              <w:numPr>
                <w:ilvl w:val="0"/>
                <w:numId w:val="2"/>
              </w:numPr>
              <w:jc w:val="both"/>
              <w:rPr>
                <w:bCs/>
                <w:iCs/>
              </w:rPr>
            </w:pPr>
            <w:r>
              <w:rPr>
                <w:bCs/>
                <w:iCs/>
              </w:rPr>
              <w:t>The top areas were EMBE £0.891m, IT £0.861m and Estates and Facilities £0.647m.</w:t>
            </w:r>
          </w:p>
          <w:p w14:paraId="6FE39B27" w14:textId="77777777" w:rsidR="00263FC0" w:rsidRDefault="00263FC0" w:rsidP="00F50E2C">
            <w:pPr>
              <w:pStyle w:val="NoSpacing"/>
              <w:jc w:val="both"/>
              <w:rPr>
                <w:b/>
                <w:i/>
                <w:u w:val="single"/>
              </w:rPr>
            </w:pPr>
          </w:p>
          <w:p w14:paraId="309E1D7A" w14:textId="0E025FEF" w:rsidR="00F50E2C" w:rsidRDefault="00F50E2C" w:rsidP="008B1970">
            <w:pPr>
              <w:pStyle w:val="NoSpacing"/>
              <w:jc w:val="both"/>
              <w:rPr>
                <w:b/>
                <w:i/>
                <w:u w:val="single"/>
              </w:rPr>
            </w:pPr>
            <w:r>
              <w:rPr>
                <w:b/>
                <w:i/>
                <w:u w:val="single"/>
              </w:rPr>
              <w:t>Losses and Special Payments</w:t>
            </w:r>
          </w:p>
          <w:p w14:paraId="5FFCF0E5" w14:textId="77777777" w:rsidR="004A2BB4" w:rsidRDefault="004A2BB4" w:rsidP="008B1970">
            <w:pPr>
              <w:pStyle w:val="NoSpacing"/>
              <w:numPr>
                <w:ilvl w:val="0"/>
                <w:numId w:val="2"/>
              </w:numPr>
              <w:jc w:val="both"/>
              <w:rPr>
                <w:bCs/>
                <w:iCs/>
              </w:rPr>
            </w:pPr>
            <w:r>
              <w:rPr>
                <w:bCs/>
                <w:iCs/>
              </w:rPr>
              <w:t>The committee were updated with the volume of losses since the last meeting.</w:t>
            </w:r>
          </w:p>
          <w:p w14:paraId="597E9E02" w14:textId="5D5647B4" w:rsidR="008B1970" w:rsidRDefault="004A2BB4" w:rsidP="008B1970">
            <w:pPr>
              <w:pStyle w:val="NoSpacing"/>
              <w:numPr>
                <w:ilvl w:val="0"/>
                <w:numId w:val="2"/>
              </w:numPr>
              <w:jc w:val="both"/>
              <w:rPr>
                <w:bCs/>
                <w:iCs/>
              </w:rPr>
            </w:pPr>
            <w:r>
              <w:rPr>
                <w:bCs/>
                <w:iCs/>
              </w:rPr>
              <w:t xml:space="preserve">Total Moorfields Private Losses and Special Payments </w:t>
            </w:r>
            <w:r w:rsidR="008B1970">
              <w:rPr>
                <w:bCs/>
                <w:iCs/>
              </w:rPr>
              <w:t>net £381 credit (write back on 5 cases);</w:t>
            </w:r>
          </w:p>
          <w:p w14:paraId="6629333A" w14:textId="277562A6" w:rsidR="004A2BB4" w:rsidRDefault="004A2BB4" w:rsidP="008B1970">
            <w:pPr>
              <w:pStyle w:val="NoSpacing"/>
              <w:numPr>
                <w:ilvl w:val="0"/>
                <w:numId w:val="2"/>
              </w:numPr>
              <w:jc w:val="both"/>
              <w:rPr>
                <w:bCs/>
                <w:iCs/>
              </w:rPr>
            </w:pPr>
            <w:r>
              <w:rPr>
                <w:bCs/>
                <w:iCs/>
              </w:rPr>
              <w:t xml:space="preserve">Total NHS Losses and Special Payments </w:t>
            </w:r>
            <w:r w:rsidR="008B1970">
              <w:rPr>
                <w:bCs/>
                <w:iCs/>
              </w:rPr>
              <w:t>£91,698 on 62 cases;</w:t>
            </w:r>
          </w:p>
          <w:p w14:paraId="7159AC66" w14:textId="6C000643" w:rsidR="004A2BB4" w:rsidRPr="004A2BB4" w:rsidRDefault="008B1970" w:rsidP="008B1970">
            <w:pPr>
              <w:pStyle w:val="NoSpacing"/>
              <w:numPr>
                <w:ilvl w:val="0"/>
                <w:numId w:val="2"/>
              </w:numPr>
              <w:jc w:val="both"/>
              <w:rPr>
                <w:bCs/>
                <w:iCs/>
              </w:rPr>
            </w:pPr>
            <w:r>
              <w:rPr>
                <w:bCs/>
                <w:iCs/>
              </w:rPr>
              <w:t>Total Dub</w:t>
            </w:r>
            <w:r w:rsidR="00431485">
              <w:rPr>
                <w:bCs/>
                <w:iCs/>
              </w:rPr>
              <w:t>ai</w:t>
            </w:r>
            <w:r>
              <w:rPr>
                <w:bCs/>
                <w:iCs/>
              </w:rPr>
              <w:t xml:space="preserve"> Losses and Special Payments £23,951 on 1,515 cases.</w:t>
            </w:r>
          </w:p>
          <w:p w14:paraId="352DDD5A" w14:textId="7514F696" w:rsidR="000524EE" w:rsidRPr="00E23D64" w:rsidRDefault="000524EE" w:rsidP="00F165C0">
            <w:pPr>
              <w:pStyle w:val="NoSpacing"/>
              <w:jc w:val="both"/>
              <w:rPr>
                <w:bCs/>
                <w:iCs/>
              </w:rPr>
            </w:pPr>
          </w:p>
        </w:tc>
      </w:tr>
      <w:bookmarkEnd w:id="0"/>
      <w:tr w:rsidR="00AC3B21" w:rsidRPr="00F46EE1" w14:paraId="6F3ABBD0" w14:textId="77777777" w:rsidTr="003A7AF7">
        <w:tc>
          <w:tcPr>
            <w:tcW w:w="2127" w:type="dxa"/>
            <w:shd w:val="clear" w:color="auto" w:fill="548DD4" w:themeFill="text2" w:themeFillTint="99"/>
            <w:vAlign w:val="center"/>
          </w:tcPr>
          <w:p w14:paraId="5915C54F" w14:textId="0FAC6C9C" w:rsidR="00AC3B21" w:rsidRPr="00F46EE1" w:rsidRDefault="00AC3B21" w:rsidP="00AC3B21">
            <w:pPr>
              <w:spacing w:after="0"/>
              <w:ind w:left="0"/>
              <w:rPr>
                <w:rFonts w:asciiTheme="minorHAnsi" w:hAnsiTheme="minorHAnsi" w:cstheme="minorBidi"/>
                <w:b/>
                <w:color w:val="FFFFFF" w:themeColor="background1"/>
                <w:szCs w:val="24"/>
              </w:rPr>
            </w:pPr>
            <w:r w:rsidRPr="00F46EE1">
              <w:rPr>
                <w:rFonts w:asciiTheme="minorHAnsi" w:hAnsiTheme="minorHAnsi" w:cstheme="minorBidi"/>
                <w:b/>
                <w:color w:val="FFFFFF" w:themeColor="background1"/>
                <w:szCs w:val="24"/>
              </w:rPr>
              <w:lastRenderedPageBreak/>
              <w:t xml:space="preserve">Key concerns </w:t>
            </w:r>
          </w:p>
          <w:p w14:paraId="333F3EFE" w14:textId="77777777" w:rsidR="00AC3B21" w:rsidRPr="00F46EE1" w:rsidRDefault="00AC3B21" w:rsidP="00AC3B21">
            <w:pPr>
              <w:spacing w:after="0"/>
              <w:ind w:left="0"/>
              <w:rPr>
                <w:rFonts w:asciiTheme="minorHAnsi" w:hAnsiTheme="minorHAnsi" w:cstheme="minorBidi"/>
                <w:b/>
                <w:color w:val="FFFFFF" w:themeColor="background1"/>
                <w:szCs w:val="24"/>
              </w:rPr>
            </w:pPr>
          </w:p>
        </w:tc>
        <w:tc>
          <w:tcPr>
            <w:tcW w:w="8363" w:type="dxa"/>
          </w:tcPr>
          <w:p w14:paraId="4E38AC67" w14:textId="4BF3F22A" w:rsidR="008507A4" w:rsidRPr="008507A4" w:rsidRDefault="008507A4" w:rsidP="008507A4">
            <w:pPr>
              <w:numPr>
                <w:ilvl w:val="0"/>
                <w:numId w:val="2"/>
              </w:numPr>
              <w:spacing w:after="0"/>
              <w:contextualSpacing/>
              <w:jc w:val="both"/>
              <w:rPr>
                <w:rFonts w:asciiTheme="minorHAnsi" w:hAnsiTheme="minorHAnsi" w:cstheme="minorHAnsi"/>
                <w:sz w:val="22"/>
              </w:rPr>
            </w:pPr>
            <w:r>
              <w:rPr>
                <w:rFonts w:asciiTheme="minorHAnsi" w:hAnsiTheme="minorHAnsi" w:cstheme="minorHAnsi"/>
                <w:sz w:val="22"/>
              </w:rPr>
              <w:t>The internal audit report highlighted that project management was a key concern for the trust to improve on.</w:t>
            </w:r>
          </w:p>
        </w:tc>
      </w:tr>
      <w:tr w:rsidR="00AC3B21" w:rsidRPr="00F46EE1" w14:paraId="7A452C56" w14:textId="77777777" w:rsidTr="00382D9D">
        <w:trPr>
          <w:trHeight w:val="242"/>
        </w:trPr>
        <w:tc>
          <w:tcPr>
            <w:tcW w:w="2127" w:type="dxa"/>
            <w:shd w:val="clear" w:color="auto" w:fill="548DD4" w:themeFill="text2" w:themeFillTint="99"/>
            <w:vAlign w:val="center"/>
          </w:tcPr>
          <w:p w14:paraId="3B4416F2" w14:textId="02FB3D27" w:rsidR="00AC3B21" w:rsidRPr="00F46EE1" w:rsidRDefault="00382D9D" w:rsidP="00AC3B21">
            <w:pPr>
              <w:spacing w:after="0"/>
              <w:ind w:left="0"/>
              <w:rPr>
                <w:rFonts w:asciiTheme="minorHAnsi" w:hAnsiTheme="minorHAnsi" w:cstheme="minorBidi"/>
                <w:b/>
                <w:color w:val="FFFFFF" w:themeColor="background1"/>
                <w:szCs w:val="24"/>
              </w:rPr>
            </w:pPr>
            <w:r>
              <w:rPr>
                <w:rFonts w:asciiTheme="minorHAnsi" w:hAnsiTheme="minorHAnsi" w:cstheme="minorBidi"/>
                <w:b/>
                <w:color w:val="FFFFFF" w:themeColor="background1"/>
                <w:szCs w:val="24"/>
              </w:rPr>
              <w:t>DONM</w:t>
            </w:r>
          </w:p>
        </w:tc>
        <w:tc>
          <w:tcPr>
            <w:tcW w:w="8363" w:type="dxa"/>
          </w:tcPr>
          <w:p w14:paraId="3E310979" w14:textId="1A0A3D1B" w:rsidR="00AC3B21" w:rsidRPr="0057340E" w:rsidRDefault="00F165C0" w:rsidP="00CE1F23">
            <w:pPr>
              <w:numPr>
                <w:ilvl w:val="0"/>
                <w:numId w:val="2"/>
              </w:numPr>
              <w:spacing w:after="0"/>
              <w:contextualSpacing/>
              <w:jc w:val="both"/>
              <w:rPr>
                <w:rFonts w:asciiTheme="minorHAnsi" w:hAnsiTheme="minorHAnsi" w:cstheme="minorBidi"/>
                <w:sz w:val="22"/>
              </w:rPr>
            </w:pPr>
            <w:r>
              <w:rPr>
                <w:rFonts w:asciiTheme="minorHAnsi" w:hAnsiTheme="minorHAnsi" w:cstheme="minorBidi"/>
                <w:sz w:val="22"/>
              </w:rPr>
              <w:t>11</w:t>
            </w:r>
            <w:r w:rsidR="00155FCE">
              <w:rPr>
                <w:rFonts w:asciiTheme="minorHAnsi" w:hAnsiTheme="minorHAnsi" w:cstheme="minorBidi"/>
                <w:sz w:val="22"/>
              </w:rPr>
              <w:t xml:space="preserve"> </w:t>
            </w:r>
            <w:r>
              <w:rPr>
                <w:rFonts w:asciiTheme="minorHAnsi" w:hAnsiTheme="minorHAnsi" w:cstheme="minorBidi"/>
                <w:sz w:val="22"/>
              </w:rPr>
              <w:t>October</w:t>
            </w:r>
            <w:r w:rsidR="009A2CD2">
              <w:rPr>
                <w:rFonts w:asciiTheme="minorHAnsi" w:hAnsiTheme="minorHAnsi" w:cstheme="minorBidi"/>
                <w:sz w:val="22"/>
              </w:rPr>
              <w:t xml:space="preserve"> 2022</w:t>
            </w:r>
          </w:p>
        </w:tc>
      </w:tr>
    </w:tbl>
    <w:p w14:paraId="4AC2E716" w14:textId="77777777" w:rsidR="0054478E" w:rsidRPr="00F46EE1" w:rsidRDefault="0054478E" w:rsidP="0054478E">
      <w:pPr>
        <w:tabs>
          <w:tab w:val="left" w:pos="3491"/>
        </w:tabs>
        <w:spacing w:after="200" w:line="276" w:lineRule="auto"/>
        <w:ind w:left="0"/>
        <w:rPr>
          <w:rFonts w:asciiTheme="minorHAnsi" w:hAnsiTheme="minorHAnsi" w:cstheme="minorBidi"/>
          <w:sz w:val="22"/>
        </w:rPr>
      </w:pPr>
    </w:p>
    <w:sectPr w:rsidR="0054478E" w:rsidRPr="00F46EE1" w:rsidSect="00793C47">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3FD1" w14:textId="77777777" w:rsidR="00A02C93" w:rsidRDefault="00A02C93" w:rsidP="001164DD">
      <w:pPr>
        <w:spacing w:after="0"/>
      </w:pPr>
      <w:r>
        <w:separator/>
      </w:r>
    </w:p>
  </w:endnote>
  <w:endnote w:type="continuationSeparator" w:id="0">
    <w:p w14:paraId="4D1446EE" w14:textId="77777777" w:rsidR="00A02C93" w:rsidRDefault="00A02C93" w:rsidP="00116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8FC" w14:textId="4C89A192" w:rsidR="0054478E" w:rsidRPr="0054478E" w:rsidRDefault="0054478E" w:rsidP="0054478E">
    <w:pPr>
      <w:pStyle w:val="Footer"/>
      <w:jc w:val="center"/>
    </w:pPr>
    <w:r w:rsidRPr="0054478E">
      <w:rPr>
        <w:sz w:val="20"/>
      </w:rPr>
      <w:fldChar w:fldCharType="begin"/>
    </w:r>
    <w:r w:rsidRPr="0054478E">
      <w:rPr>
        <w:sz w:val="20"/>
      </w:rPr>
      <w:instrText xml:space="preserve"> PAGE   \* MERGEFORMAT </w:instrText>
    </w:r>
    <w:r w:rsidRPr="0054478E">
      <w:rPr>
        <w:sz w:val="20"/>
      </w:rPr>
      <w:fldChar w:fldCharType="separate"/>
    </w:r>
    <w:r w:rsidR="00553652">
      <w:rPr>
        <w:noProof/>
        <w:sz w:val="20"/>
      </w:rPr>
      <w:t>5</w:t>
    </w:r>
    <w:r w:rsidRPr="0054478E">
      <w:rPr>
        <w:sz w:val="20"/>
      </w:rPr>
      <w:fldChar w:fldCharType="end"/>
    </w:r>
    <w:r w:rsidRPr="0054478E">
      <w:rPr>
        <w:sz w:val="20"/>
      </w:rPr>
      <w:t xml:space="preserve"> of </w:t>
    </w:r>
    <w:r w:rsidRPr="0054478E">
      <w:rPr>
        <w:sz w:val="20"/>
      </w:rPr>
      <w:fldChar w:fldCharType="begin"/>
    </w:r>
    <w:r w:rsidRPr="0054478E">
      <w:rPr>
        <w:sz w:val="20"/>
      </w:rPr>
      <w:instrText xml:space="preserve"> NUMPAGES   \* MERGEFORMAT </w:instrText>
    </w:r>
    <w:r w:rsidRPr="0054478E">
      <w:rPr>
        <w:sz w:val="20"/>
      </w:rPr>
      <w:fldChar w:fldCharType="separate"/>
    </w:r>
    <w:r w:rsidR="00553652">
      <w:rPr>
        <w:noProof/>
        <w:sz w:val="20"/>
      </w:rPr>
      <w:t>5</w:t>
    </w:r>
    <w:r w:rsidRPr="0054478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4B95" w14:textId="62DB4AB3" w:rsidR="00A8462B" w:rsidRDefault="00A8462B" w:rsidP="00A8462B">
    <w:pPr>
      <w:pStyle w:val="Footer"/>
      <w:jc w:val="center"/>
    </w:pPr>
    <w:r w:rsidRPr="00A8462B">
      <w:rPr>
        <w:sz w:val="20"/>
      </w:rPr>
      <w:fldChar w:fldCharType="begin"/>
    </w:r>
    <w:r w:rsidRPr="00A8462B">
      <w:rPr>
        <w:sz w:val="20"/>
      </w:rPr>
      <w:instrText xml:space="preserve"> PAGE   \* MERGEFORMAT </w:instrText>
    </w:r>
    <w:r w:rsidRPr="00A8462B">
      <w:rPr>
        <w:sz w:val="20"/>
      </w:rPr>
      <w:fldChar w:fldCharType="separate"/>
    </w:r>
    <w:r w:rsidR="00FD1ABE">
      <w:rPr>
        <w:noProof/>
        <w:sz w:val="20"/>
      </w:rPr>
      <w:t>1</w:t>
    </w:r>
    <w:r w:rsidRPr="00A8462B">
      <w:rPr>
        <w:sz w:val="20"/>
      </w:rPr>
      <w:fldChar w:fldCharType="end"/>
    </w:r>
    <w:r w:rsidRPr="00A8462B">
      <w:rPr>
        <w:sz w:val="20"/>
      </w:rPr>
      <w:t xml:space="preserve"> of </w:t>
    </w:r>
    <w:r w:rsidRPr="00A8462B">
      <w:rPr>
        <w:sz w:val="20"/>
      </w:rPr>
      <w:fldChar w:fldCharType="begin"/>
    </w:r>
    <w:r w:rsidRPr="00A8462B">
      <w:rPr>
        <w:sz w:val="20"/>
      </w:rPr>
      <w:instrText xml:space="preserve"> NUMPAGES   \* MERGEFORMAT </w:instrText>
    </w:r>
    <w:r w:rsidRPr="00A8462B">
      <w:rPr>
        <w:sz w:val="20"/>
      </w:rPr>
      <w:fldChar w:fldCharType="separate"/>
    </w:r>
    <w:r w:rsidR="00FD1ABE">
      <w:rPr>
        <w:noProof/>
        <w:sz w:val="20"/>
      </w:rPr>
      <w:t>5</w:t>
    </w:r>
    <w:r w:rsidRPr="00A8462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505D" w14:textId="77777777" w:rsidR="00A02C93" w:rsidRDefault="00A02C93" w:rsidP="001164DD">
      <w:pPr>
        <w:spacing w:after="0"/>
      </w:pPr>
      <w:r>
        <w:separator/>
      </w:r>
    </w:p>
  </w:footnote>
  <w:footnote w:type="continuationSeparator" w:id="0">
    <w:p w14:paraId="78A3F2A4" w14:textId="77777777" w:rsidR="00A02C93" w:rsidRDefault="00A02C93" w:rsidP="00116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7801" w14:textId="77777777" w:rsidR="00010995" w:rsidRDefault="00010995"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1A07192C" wp14:editId="1D5D5D64">
          <wp:simplePos x="0" y="0"/>
          <wp:positionH relativeFrom="page">
            <wp:posOffset>4604385</wp:posOffset>
          </wp:positionH>
          <wp:positionV relativeFrom="page">
            <wp:posOffset>306705</wp:posOffset>
          </wp:positionV>
          <wp:extent cx="2348644" cy="343975"/>
          <wp:effectExtent l="0" t="0" r="0" b="0"/>
          <wp:wrapNone/>
          <wp:docPr id="6" name="Picture 6"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4C0895F4" w14:textId="77777777" w:rsidR="00010995" w:rsidRDefault="00010995" w:rsidP="00A26A0C">
    <w:pPr>
      <w:pStyle w:val="Header"/>
      <w:tabs>
        <w:tab w:val="clear" w:pos="4513"/>
        <w:tab w:val="clear" w:pos="9026"/>
        <w:tab w:val="left" w:pos="2295"/>
        <w:tab w:val="left" w:pos="45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D98"/>
    <w:multiLevelType w:val="hybridMultilevel"/>
    <w:tmpl w:val="5B0A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46CC9"/>
    <w:multiLevelType w:val="hybridMultilevel"/>
    <w:tmpl w:val="694C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5653C"/>
    <w:multiLevelType w:val="hybridMultilevel"/>
    <w:tmpl w:val="E2DE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1AFC"/>
    <w:multiLevelType w:val="hybridMultilevel"/>
    <w:tmpl w:val="BBE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56EAC"/>
    <w:multiLevelType w:val="hybridMultilevel"/>
    <w:tmpl w:val="033E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E7705"/>
    <w:multiLevelType w:val="hybridMultilevel"/>
    <w:tmpl w:val="B23E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66B00"/>
    <w:multiLevelType w:val="hybridMultilevel"/>
    <w:tmpl w:val="50C0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D2520"/>
    <w:multiLevelType w:val="hybridMultilevel"/>
    <w:tmpl w:val="00B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54C9"/>
    <w:multiLevelType w:val="hybridMultilevel"/>
    <w:tmpl w:val="E896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60789"/>
    <w:multiLevelType w:val="hybridMultilevel"/>
    <w:tmpl w:val="7078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75C03"/>
    <w:multiLevelType w:val="hybridMultilevel"/>
    <w:tmpl w:val="553A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45E58"/>
    <w:multiLevelType w:val="hybridMultilevel"/>
    <w:tmpl w:val="2ED2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B4CB1"/>
    <w:multiLevelType w:val="hybridMultilevel"/>
    <w:tmpl w:val="D1DC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71170"/>
    <w:multiLevelType w:val="hybridMultilevel"/>
    <w:tmpl w:val="6628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E7AE7"/>
    <w:multiLevelType w:val="hybridMultilevel"/>
    <w:tmpl w:val="B7CEF44C"/>
    <w:lvl w:ilvl="0" w:tplc="8B3C24A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E59A0"/>
    <w:multiLevelType w:val="hybridMultilevel"/>
    <w:tmpl w:val="3082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E4ECC"/>
    <w:multiLevelType w:val="hybridMultilevel"/>
    <w:tmpl w:val="5900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29305D"/>
    <w:multiLevelType w:val="hybridMultilevel"/>
    <w:tmpl w:val="77A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B76DF2"/>
    <w:multiLevelType w:val="hybridMultilevel"/>
    <w:tmpl w:val="327C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A555F"/>
    <w:multiLevelType w:val="hybridMultilevel"/>
    <w:tmpl w:val="D356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D491E"/>
    <w:multiLevelType w:val="hybridMultilevel"/>
    <w:tmpl w:val="7E1E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400F57"/>
    <w:multiLevelType w:val="hybridMultilevel"/>
    <w:tmpl w:val="54BC2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6333E"/>
    <w:multiLevelType w:val="hybridMultilevel"/>
    <w:tmpl w:val="F6AA9E34"/>
    <w:lvl w:ilvl="0" w:tplc="ADA062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0E4DFA"/>
    <w:multiLevelType w:val="hybridMultilevel"/>
    <w:tmpl w:val="529C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E0EAC"/>
    <w:multiLevelType w:val="hybridMultilevel"/>
    <w:tmpl w:val="1BCE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C6D25"/>
    <w:multiLevelType w:val="hybridMultilevel"/>
    <w:tmpl w:val="CC9A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E0806"/>
    <w:multiLevelType w:val="hybridMultilevel"/>
    <w:tmpl w:val="0586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458356">
    <w:abstractNumId w:val="22"/>
  </w:num>
  <w:num w:numId="2" w16cid:durableId="200867989">
    <w:abstractNumId w:val="17"/>
  </w:num>
  <w:num w:numId="3" w16cid:durableId="1957984682">
    <w:abstractNumId w:val="18"/>
  </w:num>
  <w:num w:numId="4" w16cid:durableId="1231580421">
    <w:abstractNumId w:val="19"/>
  </w:num>
  <w:num w:numId="5" w16cid:durableId="2048944569">
    <w:abstractNumId w:val="16"/>
  </w:num>
  <w:num w:numId="6" w16cid:durableId="1897355973">
    <w:abstractNumId w:val="2"/>
  </w:num>
  <w:num w:numId="7" w16cid:durableId="1362127689">
    <w:abstractNumId w:val="3"/>
  </w:num>
  <w:num w:numId="8" w16cid:durableId="1717973094">
    <w:abstractNumId w:val="9"/>
  </w:num>
  <w:num w:numId="9" w16cid:durableId="59907371">
    <w:abstractNumId w:val="12"/>
  </w:num>
  <w:num w:numId="10" w16cid:durableId="514346885">
    <w:abstractNumId w:val="0"/>
  </w:num>
  <w:num w:numId="11" w16cid:durableId="328336424">
    <w:abstractNumId w:val="11"/>
  </w:num>
  <w:num w:numId="12" w16cid:durableId="148711781">
    <w:abstractNumId w:val="5"/>
  </w:num>
  <w:num w:numId="13" w16cid:durableId="1209564589">
    <w:abstractNumId w:val="1"/>
  </w:num>
  <w:num w:numId="14" w16cid:durableId="450364791">
    <w:abstractNumId w:val="25"/>
  </w:num>
  <w:num w:numId="15" w16cid:durableId="1173841497">
    <w:abstractNumId w:val="26"/>
  </w:num>
  <w:num w:numId="16" w16cid:durableId="584342674">
    <w:abstractNumId w:val="14"/>
  </w:num>
  <w:num w:numId="17" w16cid:durableId="1733580234">
    <w:abstractNumId w:val="6"/>
  </w:num>
  <w:num w:numId="18" w16cid:durableId="1362053926">
    <w:abstractNumId w:val="13"/>
  </w:num>
  <w:num w:numId="19" w16cid:durableId="509684232">
    <w:abstractNumId w:val="20"/>
  </w:num>
  <w:num w:numId="20" w16cid:durableId="2066105364">
    <w:abstractNumId w:val="4"/>
  </w:num>
  <w:num w:numId="21" w16cid:durableId="331182267">
    <w:abstractNumId w:val="24"/>
  </w:num>
  <w:num w:numId="22" w16cid:durableId="1401908622">
    <w:abstractNumId w:val="10"/>
  </w:num>
  <w:num w:numId="23" w16cid:durableId="1568614659">
    <w:abstractNumId w:val="8"/>
  </w:num>
  <w:num w:numId="24" w16cid:durableId="301084479">
    <w:abstractNumId w:val="23"/>
  </w:num>
  <w:num w:numId="25" w16cid:durableId="635795674">
    <w:abstractNumId w:val="15"/>
  </w:num>
  <w:num w:numId="26" w16cid:durableId="2055426128">
    <w:abstractNumId w:val="7"/>
  </w:num>
  <w:num w:numId="27" w16cid:durableId="103889047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308"/>
    <w:rsid w:val="00001887"/>
    <w:rsid w:val="00002CA0"/>
    <w:rsid w:val="00007C15"/>
    <w:rsid w:val="00010995"/>
    <w:rsid w:val="00012105"/>
    <w:rsid w:val="000125D9"/>
    <w:rsid w:val="00013845"/>
    <w:rsid w:val="00013F46"/>
    <w:rsid w:val="00020580"/>
    <w:rsid w:val="000210D9"/>
    <w:rsid w:val="00021C54"/>
    <w:rsid w:val="000240CD"/>
    <w:rsid w:val="00024CB7"/>
    <w:rsid w:val="00025720"/>
    <w:rsid w:val="00026C54"/>
    <w:rsid w:val="0003082F"/>
    <w:rsid w:val="00044363"/>
    <w:rsid w:val="000466BA"/>
    <w:rsid w:val="000500EA"/>
    <w:rsid w:val="00050410"/>
    <w:rsid w:val="000508C1"/>
    <w:rsid w:val="000524EE"/>
    <w:rsid w:val="00052733"/>
    <w:rsid w:val="00053BA2"/>
    <w:rsid w:val="000546FE"/>
    <w:rsid w:val="0005701B"/>
    <w:rsid w:val="000573FB"/>
    <w:rsid w:val="000605A5"/>
    <w:rsid w:val="000628F4"/>
    <w:rsid w:val="00071005"/>
    <w:rsid w:val="00071F94"/>
    <w:rsid w:val="00074364"/>
    <w:rsid w:val="00074918"/>
    <w:rsid w:val="00084C37"/>
    <w:rsid w:val="0009103D"/>
    <w:rsid w:val="000916BA"/>
    <w:rsid w:val="00091A7A"/>
    <w:rsid w:val="00093066"/>
    <w:rsid w:val="000931EC"/>
    <w:rsid w:val="000934FA"/>
    <w:rsid w:val="000939E1"/>
    <w:rsid w:val="000A19EC"/>
    <w:rsid w:val="000A20CE"/>
    <w:rsid w:val="000A3F13"/>
    <w:rsid w:val="000A5643"/>
    <w:rsid w:val="000A78D6"/>
    <w:rsid w:val="000A7DFB"/>
    <w:rsid w:val="000B51C4"/>
    <w:rsid w:val="000B5454"/>
    <w:rsid w:val="000C2DFE"/>
    <w:rsid w:val="000C49AF"/>
    <w:rsid w:val="000C58E2"/>
    <w:rsid w:val="000C78A2"/>
    <w:rsid w:val="000C7E4F"/>
    <w:rsid w:val="000D12B2"/>
    <w:rsid w:val="000D476C"/>
    <w:rsid w:val="000E053F"/>
    <w:rsid w:val="000E0963"/>
    <w:rsid w:val="000E166B"/>
    <w:rsid w:val="000E1871"/>
    <w:rsid w:val="000E2250"/>
    <w:rsid w:val="000E4B64"/>
    <w:rsid w:val="000E4F19"/>
    <w:rsid w:val="000E64BB"/>
    <w:rsid w:val="000E757B"/>
    <w:rsid w:val="000F096F"/>
    <w:rsid w:val="000F12D9"/>
    <w:rsid w:val="000F28C1"/>
    <w:rsid w:val="000F3FB4"/>
    <w:rsid w:val="000F4BE7"/>
    <w:rsid w:val="000F5563"/>
    <w:rsid w:val="000F5BBF"/>
    <w:rsid w:val="000F5D7C"/>
    <w:rsid w:val="00105488"/>
    <w:rsid w:val="00107722"/>
    <w:rsid w:val="001150ED"/>
    <w:rsid w:val="0011520B"/>
    <w:rsid w:val="001164DD"/>
    <w:rsid w:val="00124961"/>
    <w:rsid w:val="00126155"/>
    <w:rsid w:val="00134CAF"/>
    <w:rsid w:val="001403C5"/>
    <w:rsid w:val="00142C92"/>
    <w:rsid w:val="00144EC7"/>
    <w:rsid w:val="00145E68"/>
    <w:rsid w:val="00154671"/>
    <w:rsid w:val="001558AA"/>
    <w:rsid w:val="00155DC4"/>
    <w:rsid w:val="00155FCE"/>
    <w:rsid w:val="00163616"/>
    <w:rsid w:val="0016579E"/>
    <w:rsid w:val="00171E55"/>
    <w:rsid w:val="0017213D"/>
    <w:rsid w:val="00175612"/>
    <w:rsid w:val="0017588A"/>
    <w:rsid w:val="00175DAF"/>
    <w:rsid w:val="00180453"/>
    <w:rsid w:val="001818D2"/>
    <w:rsid w:val="00182329"/>
    <w:rsid w:val="001842AE"/>
    <w:rsid w:val="00185DF2"/>
    <w:rsid w:val="0019075A"/>
    <w:rsid w:val="00190B2B"/>
    <w:rsid w:val="00193197"/>
    <w:rsid w:val="001A291E"/>
    <w:rsid w:val="001A5356"/>
    <w:rsid w:val="001A5688"/>
    <w:rsid w:val="001B139B"/>
    <w:rsid w:val="001B257E"/>
    <w:rsid w:val="001B4C05"/>
    <w:rsid w:val="001C2496"/>
    <w:rsid w:val="001C3007"/>
    <w:rsid w:val="001C45D5"/>
    <w:rsid w:val="001C68C8"/>
    <w:rsid w:val="001D0E41"/>
    <w:rsid w:val="001D119A"/>
    <w:rsid w:val="001D1AEC"/>
    <w:rsid w:val="001D4961"/>
    <w:rsid w:val="001E0BD7"/>
    <w:rsid w:val="001E0E7F"/>
    <w:rsid w:val="001E3CB9"/>
    <w:rsid w:val="001E4852"/>
    <w:rsid w:val="001E6782"/>
    <w:rsid w:val="001E6A69"/>
    <w:rsid w:val="001F3E62"/>
    <w:rsid w:val="001F4382"/>
    <w:rsid w:val="0020118B"/>
    <w:rsid w:val="00206F4D"/>
    <w:rsid w:val="00210566"/>
    <w:rsid w:val="00212301"/>
    <w:rsid w:val="00217F25"/>
    <w:rsid w:val="002239A4"/>
    <w:rsid w:val="002243FB"/>
    <w:rsid w:val="0022517F"/>
    <w:rsid w:val="00226838"/>
    <w:rsid w:val="00226C39"/>
    <w:rsid w:val="00227B35"/>
    <w:rsid w:val="002306C7"/>
    <w:rsid w:val="00230BDF"/>
    <w:rsid w:val="00233AFF"/>
    <w:rsid w:val="00237AAD"/>
    <w:rsid w:val="002473EC"/>
    <w:rsid w:val="00260176"/>
    <w:rsid w:val="00261CEE"/>
    <w:rsid w:val="0026328D"/>
    <w:rsid w:val="00263FC0"/>
    <w:rsid w:val="00264A37"/>
    <w:rsid w:val="00267540"/>
    <w:rsid w:val="0026789D"/>
    <w:rsid w:val="00270EC4"/>
    <w:rsid w:val="00271811"/>
    <w:rsid w:val="0027280D"/>
    <w:rsid w:val="00274229"/>
    <w:rsid w:val="00275E18"/>
    <w:rsid w:val="0027620B"/>
    <w:rsid w:val="0028397F"/>
    <w:rsid w:val="00284B1C"/>
    <w:rsid w:val="00286910"/>
    <w:rsid w:val="00287144"/>
    <w:rsid w:val="00291431"/>
    <w:rsid w:val="002916B0"/>
    <w:rsid w:val="002946C5"/>
    <w:rsid w:val="00297FFC"/>
    <w:rsid w:val="002A07DE"/>
    <w:rsid w:val="002A0FC1"/>
    <w:rsid w:val="002A26E9"/>
    <w:rsid w:val="002A5094"/>
    <w:rsid w:val="002A612B"/>
    <w:rsid w:val="002A6DFB"/>
    <w:rsid w:val="002B1ACB"/>
    <w:rsid w:val="002B477B"/>
    <w:rsid w:val="002B4F84"/>
    <w:rsid w:val="002B6CC2"/>
    <w:rsid w:val="002B6ED4"/>
    <w:rsid w:val="002C0A58"/>
    <w:rsid w:val="002C4082"/>
    <w:rsid w:val="002D0C6E"/>
    <w:rsid w:val="002E0059"/>
    <w:rsid w:val="002E1E8F"/>
    <w:rsid w:val="002F6644"/>
    <w:rsid w:val="00302ADD"/>
    <w:rsid w:val="00312009"/>
    <w:rsid w:val="00314B7A"/>
    <w:rsid w:val="00314CDD"/>
    <w:rsid w:val="00315E80"/>
    <w:rsid w:val="003168FA"/>
    <w:rsid w:val="00324D52"/>
    <w:rsid w:val="00325949"/>
    <w:rsid w:val="003368D9"/>
    <w:rsid w:val="003376F4"/>
    <w:rsid w:val="0034398C"/>
    <w:rsid w:val="003461CB"/>
    <w:rsid w:val="0034799A"/>
    <w:rsid w:val="00351208"/>
    <w:rsid w:val="00352FBC"/>
    <w:rsid w:val="00360168"/>
    <w:rsid w:val="0036597F"/>
    <w:rsid w:val="003700CB"/>
    <w:rsid w:val="0037378E"/>
    <w:rsid w:val="00376D54"/>
    <w:rsid w:val="00377AB0"/>
    <w:rsid w:val="00382D9D"/>
    <w:rsid w:val="00386770"/>
    <w:rsid w:val="00391EE1"/>
    <w:rsid w:val="003927F0"/>
    <w:rsid w:val="00396073"/>
    <w:rsid w:val="003971ED"/>
    <w:rsid w:val="003A1DA2"/>
    <w:rsid w:val="003A4420"/>
    <w:rsid w:val="003A7AF7"/>
    <w:rsid w:val="003B03F9"/>
    <w:rsid w:val="003B1953"/>
    <w:rsid w:val="003B3490"/>
    <w:rsid w:val="003B6F99"/>
    <w:rsid w:val="003B75D7"/>
    <w:rsid w:val="003C1193"/>
    <w:rsid w:val="003C2901"/>
    <w:rsid w:val="003C6BF2"/>
    <w:rsid w:val="003D2E63"/>
    <w:rsid w:val="003D41C1"/>
    <w:rsid w:val="003D675C"/>
    <w:rsid w:val="003D79B1"/>
    <w:rsid w:val="003E0E7C"/>
    <w:rsid w:val="003E125A"/>
    <w:rsid w:val="003E1E6C"/>
    <w:rsid w:val="003E5C79"/>
    <w:rsid w:val="003F5F5E"/>
    <w:rsid w:val="004020A1"/>
    <w:rsid w:val="00410900"/>
    <w:rsid w:val="00411C17"/>
    <w:rsid w:val="00415D69"/>
    <w:rsid w:val="004161BF"/>
    <w:rsid w:val="0042145E"/>
    <w:rsid w:val="00422CA0"/>
    <w:rsid w:val="00423008"/>
    <w:rsid w:val="00424B16"/>
    <w:rsid w:val="00427F90"/>
    <w:rsid w:val="00431485"/>
    <w:rsid w:val="004318F8"/>
    <w:rsid w:val="00436048"/>
    <w:rsid w:val="004372A9"/>
    <w:rsid w:val="0044167E"/>
    <w:rsid w:val="00442B42"/>
    <w:rsid w:val="00446402"/>
    <w:rsid w:val="004465B9"/>
    <w:rsid w:val="004472A5"/>
    <w:rsid w:val="0045053E"/>
    <w:rsid w:val="00450BF3"/>
    <w:rsid w:val="0045750C"/>
    <w:rsid w:val="00463CB8"/>
    <w:rsid w:val="00465ABA"/>
    <w:rsid w:val="004724DA"/>
    <w:rsid w:val="00475DD6"/>
    <w:rsid w:val="00483E12"/>
    <w:rsid w:val="00484262"/>
    <w:rsid w:val="004878E1"/>
    <w:rsid w:val="00491138"/>
    <w:rsid w:val="00492056"/>
    <w:rsid w:val="00494118"/>
    <w:rsid w:val="0049417B"/>
    <w:rsid w:val="004947DF"/>
    <w:rsid w:val="00494E8D"/>
    <w:rsid w:val="004A1BBB"/>
    <w:rsid w:val="004A2BB4"/>
    <w:rsid w:val="004A3CE9"/>
    <w:rsid w:val="004A4037"/>
    <w:rsid w:val="004B0798"/>
    <w:rsid w:val="004B22BC"/>
    <w:rsid w:val="004B36F1"/>
    <w:rsid w:val="004B6105"/>
    <w:rsid w:val="004B73C2"/>
    <w:rsid w:val="004C1805"/>
    <w:rsid w:val="004C6CF1"/>
    <w:rsid w:val="004D0FB6"/>
    <w:rsid w:val="004D1E44"/>
    <w:rsid w:val="004D4C62"/>
    <w:rsid w:val="004D4E6C"/>
    <w:rsid w:val="004D6095"/>
    <w:rsid w:val="004D7839"/>
    <w:rsid w:val="004F1DD0"/>
    <w:rsid w:val="004F1DD5"/>
    <w:rsid w:val="004F3710"/>
    <w:rsid w:val="004F3B73"/>
    <w:rsid w:val="004F5B59"/>
    <w:rsid w:val="005035ED"/>
    <w:rsid w:val="00505696"/>
    <w:rsid w:val="00507F58"/>
    <w:rsid w:val="005137E7"/>
    <w:rsid w:val="0052040E"/>
    <w:rsid w:val="00520BE3"/>
    <w:rsid w:val="00522C0A"/>
    <w:rsid w:val="005244C9"/>
    <w:rsid w:val="00524E9D"/>
    <w:rsid w:val="0052545A"/>
    <w:rsid w:val="005304FA"/>
    <w:rsid w:val="005362CB"/>
    <w:rsid w:val="00536E17"/>
    <w:rsid w:val="005371CC"/>
    <w:rsid w:val="00541C8F"/>
    <w:rsid w:val="0054478E"/>
    <w:rsid w:val="00545CDF"/>
    <w:rsid w:val="005507C5"/>
    <w:rsid w:val="00553652"/>
    <w:rsid w:val="00555D3D"/>
    <w:rsid w:val="005643BF"/>
    <w:rsid w:val="00571C14"/>
    <w:rsid w:val="0057340E"/>
    <w:rsid w:val="00576BB3"/>
    <w:rsid w:val="0057738F"/>
    <w:rsid w:val="005809A2"/>
    <w:rsid w:val="00582BEC"/>
    <w:rsid w:val="005925A2"/>
    <w:rsid w:val="00594708"/>
    <w:rsid w:val="0059602C"/>
    <w:rsid w:val="005A1C42"/>
    <w:rsid w:val="005A3A2B"/>
    <w:rsid w:val="005B02A7"/>
    <w:rsid w:val="005B416F"/>
    <w:rsid w:val="005B74E1"/>
    <w:rsid w:val="005C22C9"/>
    <w:rsid w:val="005C2B2B"/>
    <w:rsid w:val="005D3127"/>
    <w:rsid w:val="005F2B4F"/>
    <w:rsid w:val="005F2C46"/>
    <w:rsid w:val="005F7429"/>
    <w:rsid w:val="00605B3D"/>
    <w:rsid w:val="00606788"/>
    <w:rsid w:val="00610BF9"/>
    <w:rsid w:val="00614A5F"/>
    <w:rsid w:val="00615B8B"/>
    <w:rsid w:val="00620FE2"/>
    <w:rsid w:val="006237B0"/>
    <w:rsid w:val="00623AFE"/>
    <w:rsid w:val="0063008F"/>
    <w:rsid w:val="006406CC"/>
    <w:rsid w:val="0064123F"/>
    <w:rsid w:val="00642937"/>
    <w:rsid w:val="006436A9"/>
    <w:rsid w:val="0064694C"/>
    <w:rsid w:val="006476CD"/>
    <w:rsid w:val="0065141B"/>
    <w:rsid w:val="00652017"/>
    <w:rsid w:val="006565AB"/>
    <w:rsid w:val="00662887"/>
    <w:rsid w:val="00663433"/>
    <w:rsid w:val="00663836"/>
    <w:rsid w:val="006640D0"/>
    <w:rsid w:val="00665DE1"/>
    <w:rsid w:val="00671116"/>
    <w:rsid w:val="00673045"/>
    <w:rsid w:val="00675A96"/>
    <w:rsid w:val="00676F1A"/>
    <w:rsid w:val="00680EE7"/>
    <w:rsid w:val="00684618"/>
    <w:rsid w:val="0068524E"/>
    <w:rsid w:val="00685609"/>
    <w:rsid w:val="0069109D"/>
    <w:rsid w:val="0069230D"/>
    <w:rsid w:val="0069307A"/>
    <w:rsid w:val="006959CD"/>
    <w:rsid w:val="00695DAD"/>
    <w:rsid w:val="006979E2"/>
    <w:rsid w:val="006A4651"/>
    <w:rsid w:val="006A55DE"/>
    <w:rsid w:val="006A79E3"/>
    <w:rsid w:val="006A7C92"/>
    <w:rsid w:val="006B30CE"/>
    <w:rsid w:val="006B59AA"/>
    <w:rsid w:val="006B7E3A"/>
    <w:rsid w:val="006C4ED1"/>
    <w:rsid w:val="006C794B"/>
    <w:rsid w:val="006D6216"/>
    <w:rsid w:val="006D7A77"/>
    <w:rsid w:val="006E5E17"/>
    <w:rsid w:val="006F05FA"/>
    <w:rsid w:val="006F126E"/>
    <w:rsid w:val="006F32C0"/>
    <w:rsid w:val="006F60B1"/>
    <w:rsid w:val="006F6CBB"/>
    <w:rsid w:val="006F6E94"/>
    <w:rsid w:val="006F765F"/>
    <w:rsid w:val="00700F45"/>
    <w:rsid w:val="00703610"/>
    <w:rsid w:val="00706019"/>
    <w:rsid w:val="00707577"/>
    <w:rsid w:val="00707595"/>
    <w:rsid w:val="00707BFC"/>
    <w:rsid w:val="00715396"/>
    <w:rsid w:val="007215A7"/>
    <w:rsid w:val="00725E79"/>
    <w:rsid w:val="00730F4F"/>
    <w:rsid w:val="00731B00"/>
    <w:rsid w:val="007326C3"/>
    <w:rsid w:val="00732E5A"/>
    <w:rsid w:val="007340E8"/>
    <w:rsid w:val="00735666"/>
    <w:rsid w:val="0073734A"/>
    <w:rsid w:val="00737B73"/>
    <w:rsid w:val="00741B13"/>
    <w:rsid w:val="00743069"/>
    <w:rsid w:val="0074528C"/>
    <w:rsid w:val="00753735"/>
    <w:rsid w:val="007618F6"/>
    <w:rsid w:val="0077004E"/>
    <w:rsid w:val="0077023C"/>
    <w:rsid w:val="00774F45"/>
    <w:rsid w:val="0078127C"/>
    <w:rsid w:val="00782F0F"/>
    <w:rsid w:val="00783027"/>
    <w:rsid w:val="007835D6"/>
    <w:rsid w:val="007976CF"/>
    <w:rsid w:val="007A492D"/>
    <w:rsid w:val="007A5FAC"/>
    <w:rsid w:val="007B2BC9"/>
    <w:rsid w:val="007B5C07"/>
    <w:rsid w:val="007B6BDB"/>
    <w:rsid w:val="007C33D9"/>
    <w:rsid w:val="007C376C"/>
    <w:rsid w:val="007C4282"/>
    <w:rsid w:val="007C628B"/>
    <w:rsid w:val="007C78C6"/>
    <w:rsid w:val="007C7C13"/>
    <w:rsid w:val="007D6344"/>
    <w:rsid w:val="007D700D"/>
    <w:rsid w:val="007D7C25"/>
    <w:rsid w:val="007E0C0A"/>
    <w:rsid w:val="007E1983"/>
    <w:rsid w:val="007F09F2"/>
    <w:rsid w:val="007F0CB9"/>
    <w:rsid w:val="007F24D8"/>
    <w:rsid w:val="007F52E5"/>
    <w:rsid w:val="007F5415"/>
    <w:rsid w:val="008026C4"/>
    <w:rsid w:val="00803BBB"/>
    <w:rsid w:val="00807D54"/>
    <w:rsid w:val="008226C7"/>
    <w:rsid w:val="0082434C"/>
    <w:rsid w:val="008247D4"/>
    <w:rsid w:val="00824FA2"/>
    <w:rsid w:val="00825143"/>
    <w:rsid w:val="00825AB5"/>
    <w:rsid w:val="00826386"/>
    <w:rsid w:val="00826C3C"/>
    <w:rsid w:val="00826F24"/>
    <w:rsid w:val="008331E6"/>
    <w:rsid w:val="008338C0"/>
    <w:rsid w:val="00841481"/>
    <w:rsid w:val="00842ABC"/>
    <w:rsid w:val="0084388B"/>
    <w:rsid w:val="008507A4"/>
    <w:rsid w:val="00851F9A"/>
    <w:rsid w:val="00853ADE"/>
    <w:rsid w:val="00870237"/>
    <w:rsid w:val="00870353"/>
    <w:rsid w:val="00871A99"/>
    <w:rsid w:val="0087602A"/>
    <w:rsid w:val="0087693B"/>
    <w:rsid w:val="008833AD"/>
    <w:rsid w:val="008878DD"/>
    <w:rsid w:val="00895DB2"/>
    <w:rsid w:val="008A32E1"/>
    <w:rsid w:val="008B09C3"/>
    <w:rsid w:val="008B1970"/>
    <w:rsid w:val="008C0924"/>
    <w:rsid w:val="008C147B"/>
    <w:rsid w:val="008C3D3C"/>
    <w:rsid w:val="008C6941"/>
    <w:rsid w:val="008D1C3E"/>
    <w:rsid w:val="008D3E6B"/>
    <w:rsid w:val="008D5073"/>
    <w:rsid w:val="008D6B2B"/>
    <w:rsid w:val="008E43CE"/>
    <w:rsid w:val="008E4623"/>
    <w:rsid w:val="008E4F75"/>
    <w:rsid w:val="008E5C45"/>
    <w:rsid w:val="008E650B"/>
    <w:rsid w:val="008E6759"/>
    <w:rsid w:val="008F5BD9"/>
    <w:rsid w:val="008F6C1E"/>
    <w:rsid w:val="009020BA"/>
    <w:rsid w:val="009032D0"/>
    <w:rsid w:val="00904118"/>
    <w:rsid w:val="009062A0"/>
    <w:rsid w:val="00910682"/>
    <w:rsid w:val="00913C6E"/>
    <w:rsid w:val="00922123"/>
    <w:rsid w:val="009246ED"/>
    <w:rsid w:val="00927B8B"/>
    <w:rsid w:val="00933D81"/>
    <w:rsid w:val="009369B1"/>
    <w:rsid w:val="009411EF"/>
    <w:rsid w:val="00954E62"/>
    <w:rsid w:val="0095566D"/>
    <w:rsid w:val="00957124"/>
    <w:rsid w:val="009620ED"/>
    <w:rsid w:val="009639FA"/>
    <w:rsid w:val="00965FB8"/>
    <w:rsid w:val="00970D55"/>
    <w:rsid w:val="00972E5E"/>
    <w:rsid w:val="00973ACD"/>
    <w:rsid w:val="00974551"/>
    <w:rsid w:val="00974686"/>
    <w:rsid w:val="009778DB"/>
    <w:rsid w:val="009803B7"/>
    <w:rsid w:val="00980E9F"/>
    <w:rsid w:val="00983D83"/>
    <w:rsid w:val="00984E5C"/>
    <w:rsid w:val="00987F6B"/>
    <w:rsid w:val="00995107"/>
    <w:rsid w:val="00997151"/>
    <w:rsid w:val="0099795E"/>
    <w:rsid w:val="009A00B3"/>
    <w:rsid w:val="009A0DEC"/>
    <w:rsid w:val="009A2CD2"/>
    <w:rsid w:val="009A481A"/>
    <w:rsid w:val="009B22D0"/>
    <w:rsid w:val="009B40E1"/>
    <w:rsid w:val="009B411A"/>
    <w:rsid w:val="009B5AB4"/>
    <w:rsid w:val="009C03B5"/>
    <w:rsid w:val="009C2CC3"/>
    <w:rsid w:val="009C4353"/>
    <w:rsid w:val="009C63AB"/>
    <w:rsid w:val="009D2BB2"/>
    <w:rsid w:val="009D52C8"/>
    <w:rsid w:val="009D7131"/>
    <w:rsid w:val="009E45B6"/>
    <w:rsid w:val="009E71D5"/>
    <w:rsid w:val="009F09D7"/>
    <w:rsid w:val="009F39E4"/>
    <w:rsid w:val="009F521E"/>
    <w:rsid w:val="009F7B50"/>
    <w:rsid w:val="00A006A3"/>
    <w:rsid w:val="00A02C93"/>
    <w:rsid w:val="00A12E2B"/>
    <w:rsid w:val="00A15E87"/>
    <w:rsid w:val="00A16636"/>
    <w:rsid w:val="00A24AD5"/>
    <w:rsid w:val="00A26A0C"/>
    <w:rsid w:val="00A2795D"/>
    <w:rsid w:val="00A334CA"/>
    <w:rsid w:val="00A35804"/>
    <w:rsid w:val="00A35FD2"/>
    <w:rsid w:val="00A362CF"/>
    <w:rsid w:val="00A41D95"/>
    <w:rsid w:val="00A46CEA"/>
    <w:rsid w:val="00A51440"/>
    <w:rsid w:val="00A54A9D"/>
    <w:rsid w:val="00A63D66"/>
    <w:rsid w:val="00A64A42"/>
    <w:rsid w:val="00A7758D"/>
    <w:rsid w:val="00A8462B"/>
    <w:rsid w:val="00A91D34"/>
    <w:rsid w:val="00A93E95"/>
    <w:rsid w:val="00A97331"/>
    <w:rsid w:val="00AA122D"/>
    <w:rsid w:val="00AA298E"/>
    <w:rsid w:val="00AC1268"/>
    <w:rsid w:val="00AC3B21"/>
    <w:rsid w:val="00AD00CB"/>
    <w:rsid w:val="00AD09B2"/>
    <w:rsid w:val="00AD1DAF"/>
    <w:rsid w:val="00AD5114"/>
    <w:rsid w:val="00AD5D79"/>
    <w:rsid w:val="00AE28B9"/>
    <w:rsid w:val="00AE4054"/>
    <w:rsid w:val="00AE47A8"/>
    <w:rsid w:val="00AE5144"/>
    <w:rsid w:val="00AE6A06"/>
    <w:rsid w:val="00AF0742"/>
    <w:rsid w:val="00AF5091"/>
    <w:rsid w:val="00B05A47"/>
    <w:rsid w:val="00B05DF9"/>
    <w:rsid w:val="00B107F7"/>
    <w:rsid w:val="00B116D0"/>
    <w:rsid w:val="00B131BE"/>
    <w:rsid w:val="00B138CE"/>
    <w:rsid w:val="00B178BA"/>
    <w:rsid w:val="00B244E3"/>
    <w:rsid w:val="00B3002E"/>
    <w:rsid w:val="00B300F9"/>
    <w:rsid w:val="00B305AD"/>
    <w:rsid w:val="00B30A6F"/>
    <w:rsid w:val="00B337EC"/>
    <w:rsid w:val="00B35561"/>
    <w:rsid w:val="00B410DE"/>
    <w:rsid w:val="00B419CD"/>
    <w:rsid w:val="00B447E8"/>
    <w:rsid w:val="00B4715B"/>
    <w:rsid w:val="00B51173"/>
    <w:rsid w:val="00B5173F"/>
    <w:rsid w:val="00B52A5E"/>
    <w:rsid w:val="00B53362"/>
    <w:rsid w:val="00B542CE"/>
    <w:rsid w:val="00B570C9"/>
    <w:rsid w:val="00B6052E"/>
    <w:rsid w:val="00B630CC"/>
    <w:rsid w:val="00B63BD6"/>
    <w:rsid w:val="00B653E2"/>
    <w:rsid w:val="00B673D8"/>
    <w:rsid w:val="00B70F14"/>
    <w:rsid w:val="00B7320E"/>
    <w:rsid w:val="00B73D00"/>
    <w:rsid w:val="00B756F0"/>
    <w:rsid w:val="00B7673B"/>
    <w:rsid w:val="00B771AA"/>
    <w:rsid w:val="00B803F5"/>
    <w:rsid w:val="00B8175F"/>
    <w:rsid w:val="00B81FA7"/>
    <w:rsid w:val="00B87F6E"/>
    <w:rsid w:val="00B91A3A"/>
    <w:rsid w:val="00B9338E"/>
    <w:rsid w:val="00B93CEC"/>
    <w:rsid w:val="00B93EF5"/>
    <w:rsid w:val="00B952DE"/>
    <w:rsid w:val="00BA2E52"/>
    <w:rsid w:val="00BA6456"/>
    <w:rsid w:val="00BB083C"/>
    <w:rsid w:val="00BB1C9F"/>
    <w:rsid w:val="00BB1E51"/>
    <w:rsid w:val="00BB785B"/>
    <w:rsid w:val="00BC102B"/>
    <w:rsid w:val="00BC1D1A"/>
    <w:rsid w:val="00BC4B48"/>
    <w:rsid w:val="00BC6ACC"/>
    <w:rsid w:val="00BD1445"/>
    <w:rsid w:val="00BD7584"/>
    <w:rsid w:val="00BE35A0"/>
    <w:rsid w:val="00BE582E"/>
    <w:rsid w:val="00BF0A7E"/>
    <w:rsid w:val="00BF68FF"/>
    <w:rsid w:val="00BF7F97"/>
    <w:rsid w:val="00C01AA7"/>
    <w:rsid w:val="00C05282"/>
    <w:rsid w:val="00C1130F"/>
    <w:rsid w:val="00C12587"/>
    <w:rsid w:val="00C13A73"/>
    <w:rsid w:val="00C15875"/>
    <w:rsid w:val="00C15E77"/>
    <w:rsid w:val="00C166AC"/>
    <w:rsid w:val="00C250AE"/>
    <w:rsid w:val="00C27753"/>
    <w:rsid w:val="00C30883"/>
    <w:rsid w:val="00C31F3B"/>
    <w:rsid w:val="00C365BA"/>
    <w:rsid w:val="00C40F1A"/>
    <w:rsid w:val="00C4223F"/>
    <w:rsid w:val="00C45D4C"/>
    <w:rsid w:val="00C52921"/>
    <w:rsid w:val="00C53872"/>
    <w:rsid w:val="00C54C3A"/>
    <w:rsid w:val="00C56289"/>
    <w:rsid w:val="00C63F9D"/>
    <w:rsid w:val="00C64C48"/>
    <w:rsid w:val="00C67228"/>
    <w:rsid w:val="00C67C22"/>
    <w:rsid w:val="00C71348"/>
    <w:rsid w:val="00C861D1"/>
    <w:rsid w:val="00C87ACB"/>
    <w:rsid w:val="00C94AEC"/>
    <w:rsid w:val="00C95258"/>
    <w:rsid w:val="00CA0F92"/>
    <w:rsid w:val="00CB0FF4"/>
    <w:rsid w:val="00CB2802"/>
    <w:rsid w:val="00CB2C40"/>
    <w:rsid w:val="00CB2F42"/>
    <w:rsid w:val="00CB628C"/>
    <w:rsid w:val="00CC096F"/>
    <w:rsid w:val="00CC2587"/>
    <w:rsid w:val="00CD04AA"/>
    <w:rsid w:val="00CD2E60"/>
    <w:rsid w:val="00CD75C4"/>
    <w:rsid w:val="00CE1F23"/>
    <w:rsid w:val="00CE79B8"/>
    <w:rsid w:val="00CE7C33"/>
    <w:rsid w:val="00CF2DD5"/>
    <w:rsid w:val="00CF47A8"/>
    <w:rsid w:val="00CF4DB9"/>
    <w:rsid w:val="00CF582F"/>
    <w:rsid w:val="00CF6300"/>
    <w:rsid w:val="00CF759E"/>
    <w:rsid w:val="00CF7DA8"/>
    <w:rsid w:val="00D0191A"/>
    <w:rsid w:val="00D03BEF"/>
    <w:rsid w:val="00D0592B"/>
    <w:rsid w:val="00D05DA7"/>
    <w:rsid w:val="00D06025"/>
    <w:rsid w:val="00D06FF6"/>
    <w:rsid w:val="00D1567D"/>
    <w:rsid w:val="00D17F4C"/>
    <w:rsid w:val="00D20F70"/>
    <w:rsid w:val="00D225DE"/>
    <w:rsid w:val="00D26099"/>
    <w:rsid w:val="00D2655B"/>
    <w:rsid w:val="00D307B7"/>
    <w:rsid w:val="00D324E9"/>
    <w:rsid w:val="00D40331"/>
    <w:rsid w:val="00D44040"/>
    <w:rsid w:val="00D46574"/>
    <w:rsid w:val="00D5195D"/>
    <w:rsid w:val="00D541DE"/>
    <w:rsid w:val="00D557E9"/>
    <w:rsid w:val="00D605EE"/>
    <w:rsid w:val="00D64FC0"/>
    <w:rsid w:val="00D6653D"/>
    <w:rsid w:val="00D71A95"/>
    <w:rsid w:val="00D7353B"/>
    <w:rsid w:val="00D7517B"/>
    <w:rsid w:val="00D81ECB"/>
    <w:rsid w:val="00D84F7F"/>
    <w:rsid w:val="00D85928"/>
    <w:rsid w:val="00D86F80"/>
    <w:rsid w:val="00DA0D28"/>
    <w:rsid w:val="00DA108B"/>
    <w:rsid w:val="00DA1756"/>
    <w:rsid w:val="00DA2432"/>
    <w:rsid w:val="00DA2583"/>
    <w:rsid w:val="00DA51FC"/>
    <w:rsid w:val="00DB0432"/>
    <w:rsid w:val="00DB109A"/>
    <w:rsid w:val="00DC0188"/>
    <w:rsid w:val="00DC195A"/>
    <w:rsid w:val="00DC3161"/>
    <w:rsid w:val="00DC5857"/>
    <w:rsid w:val="00DC5E76"/>
    <w:rsid w:val="00DC7C52"/>
    <w:rsid w:val="00DD3550"/>
    <w:rsid w:val="00DD4185"/>
    <w:rsid w:val="00DD5F75"/>
    <w:rsid w:val="00DE175A"/>
    <w:rsid w:val="00DF3F02"/>
    <w:rsid w:val="00DF5079"/>
    <w:rsid w:val="00DF5F8A"/>
    <w:rsid w:val="00DF7A9E"/>
    <w:rsid w:val="00E00681"/>
    <w:rsid w:val="00E0422C"/>
    <w:rsid w:val="00E048C5"/>
    <w:rsid w:val="00E13183"/>
    <w:rsid w:val="00E142F3"/>
    <w:rsid w:val="00E16D5B"/>
    <w:rsid w:val="00E239B5"/>
    <w:rsid w:val="00E23D64"/>
    <w:rsid w:val="00E2458E"/>
    <w:rsid w:val="00E25205"/>
    <w:rsid w:val="00E273A7"/>
    <w:rsid w:val="00E27552"/>
    <w:rsid w:val="00E27B96"/>
    <w:rsid w:val="00E32709"/>
    <w:rsid w:val="00E33AF7"/>
    <w:rsid w:val="00E34EBF"/>
    <w:rsid w:val="00E35E3B"/>
    <w:rsid w:val="00E36B43"/>
    <w:rsid w:val="00E37EE4"/>
    <w:rsid w:val="00E40EEB"/>
    <w:rsid w:val="00E414D7"/>
    <w:rsid w:val="00E41AEA"/>
    <w:rsid w:val="00E42CF5"/>
    <w:rsid w:val="00E43940"/>
    <w:rsid w:val="00E46099"/>
    <w:rsid w:val="00E46428"/>
    <w:rsid w:val="00E51E53"/>
    <w:rsid w:val="00E532AF"/>
    <w:rsid w:val="00E571CA"/>
    <w:rsid w:val="00E62643"/>
    <w:rsid w:val="00E64A86"/>
    <w:rsid w:val="00E70761"/>
    <w:rsid w:val="00E70EA8"/>
    <w:rsid w:val="00E71404"/>
    <w:rsid w:val="00E7285A"/>
    <w:rsid w:val="00E72DF5"/>
    <w:rsid w:val="00E73DEB"/>
    <w:rsid w:val="00E76561"/>
    <w:rsid w:val="00E77891"/>
    <w:rsid w:val="00E81E4C"/>
    <w:rsid w:val="00E832A9"/>
    <w:rsid w:val="00E91A1F"/>
    <w:rsid w:val="00E91A9F"/>
    <w:rsid w:val="00E94A4E"/>
    <w:rsid w:val="00E96527"/>
    <w:rsid w:val="00EA0CA4"/>
    <w:rsid w:val="00EA1565"/>
    <w:rsid w:val="00EA6195"/>
    <w:rsid w:val="00EA7B76"/>
    <w:rsid w:val="00EB1C33"/>
    <w:rsid w:val="00EB3A94"/>
    <w:rsid w:val="00EC0C04"/>
    <w:rsid w:val="00EC3B0B"/>
    <w:rsid w:val="00EC4736"/>
    <w:rsid w:val="00EC67D5"/>
    <w:rsid w:val="00EC6B83"/>
    <w:rsid w:val="00EC7AAE"/>
    <w:rsid w:val="00ED3FED"/>
    <w:rsid w:val="00ED5DF5"/>
    <w:rsid w:val="00EE1C29"/>
    <w:rsid w:val="00EE41DE"/>
    <w:rsid w:val="00EE53A5"/>
    <w:rsid w:val="00EE7139"/>
    <w:rsid w:val="00EF3D79"/>
    <w:rsid w:val="00EF4A20"/>
    <w:rsid w:val="00F0796D"/>
    <w:rsid w:val="00F12F35"/>
    <w:rsid w:val="00F13107"/>
    <w:rsid w:val="00F165C0"/>
    <w:rsid w:val="00F17E3E"/>
    <w:rsid w:val="00F2123D"/>
    <w:rsid w:val="00F26ACF"/>
    <w:rsid w:val="00F27050"/>
    <w:rsid w:val="00F31466"/>
    <w:rsid w:val="00F34883"/>
    <w:rsid w:val="00F3759F"/>
    <w:rsid w:val="00F434FD"/>
    <w:rsid w:val="00F44108"/>
    <w:rsid w:val="00F46EE1"/>
    <w:rsid w:val="00F50E2C"/>
    <w:rsid w:val="00F52BCC"/>
    <w:rsid w:val="00F544B2"/>
    <w:rsid w:val="00F55328"/>
    <w:rsid w:val="00F557A9"/>
    <w:rsid w:val="00F610F9"/>
    <w:rsid w:val="00F61186"/>
    <w:rsid w:val="00F6499A"/>
    <w:rsid w:val="00F659DA"/>
    <w:rsid w:val="00F65BCB"/>
    <w:rsid w:val="00F74685"/>
    <w:rsid w:val="00F76605"/>
    <w:rsid w:val="00F76939"/>
    <w:rsid w:val="00F76A16"/>
    <w:rsid w:val="00F8145A"/>
    <w:rsid w:val="00F82E1F"/>
    <w:rsid w:val="00F86484"/>
    <w:rsid w:val="00F913CB"/>
    <w:rsid w:val="00F9442F"/>
    <w:rsid w:val="00F95862"/>
    <w:rsid w:val="00FA061C"/>
    <w:rsid w:val="00FA50C6"/>
    <w:rsid w:val="00FA730C"/>
    <w:rsid w:val="00FB1AB6"/>
    <w:rsid w:val="00FB30CB"/>
    <w:rsid w:val="00FB3A97"/>
    <w:rsid w:val="00FB6344"/>
    <w:rsid w:val="00FC5A15"/>
    <w:rsid w:val="00FC7878"/>
    <w:rsid w:val="00FD011F"/>
    <w:rsid w:val="00FD0F8F"/>
    <w:rsid w:val="00FD1ABE"/>
    <w:rsid w:val="00FD2B9C"/>
    <w:rsid w:val="00FD5A50"/>
    <w:rsid w:val="00FE189D"/>
    <w:rsid w:val="00FE1A7A"/>
    <w:rsid w:val="00FE4AC3"/>
    <w:rsid w:val="00FE4BFB"/>
    <w:rsid w:val="00FE6DD0"/>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DC12"/>
  <w15:docId w15:val="{137C3BB4-FA5A-4E10-A6E7-008A0B79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D8"/>
    <w:pPr>
      <w:spacing w:after="120" w:line="240" w:lineRule="auto"/>
      <w:ind w:left="709"/>
    </w:pPr>
    <w:rPr>
      <w:rFonts w:ascii="Arial" w:hAnsi="Arial" w:cs="Arial"/>
      <w:sz w:val="24"/>
    </w:rPr>
  </w:style>
  <w:style w:type="paragraph" w:styleId="Heading1">
    <w:name w:val="heading 1"/>
    <w:basedOn w:val="ListParagraph"/>
    <w:next w:val="Normal"/>
    <w:link w:val="Heading1Char"/>
    <w:uiPriority w:val="9"/>
    <w:qFormat/>
    <w:rsid w:val="00B673D8"/>
    <w:pPr>
      <w:keepNext/>
      <w:numPr>
        <w:numId w:val="1"/>
      </w:numPr>
      <w:spacing w:before="360"/>
      <w:contextualSpacing w:val="0"/>
      <w:outlineLvl w:val="0"/>
    </w:pPr>
    <w:rPr>
      <w:b/>
    </w:rPr>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35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link w:val="ListParagraphChar"/>
    <w:uiPriority w:val="34"/>
    <w:qFormat/>
    <w:rsid w:val="00B673D8"/>
    <w:pPr>
      <w:ind w:left="720"/>
      <w:contextualSpacing/>
    </w:p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B416F"/>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B673D8"/>
    <w:rPr>
      <w:rFonts w:ascii="Arial" w:hAnsi="Arial" w:cs="Arial"/>
      <w:b/>
      <w:sz w:val="24"/>
    </w:rPr>
  </w:style>
  <w:style w:type="paragraph" w:styleId="Title">
    <w:name w:val="Title"/>
    <w:basedOn w:val="Heading1"/>
    <w:next w:val="Normal"/>
    <w:link w:val="TitleChar"/>
    <w:uiPriority w:val="10"/>
    <w:qFormat/>
    <w:rsid w:val="00B673D8"/>
    <w:pPr>
      <w:numPr>
        <w:numId w:val="0"/>
      </w:numPr>
      <w:jc w:val="center"/>
    </w:pPr>
    <w:rPr>
      <w:sz w:val="28"/>
    </w:rPr>
  </w:style>
  <w:style w:type="character" w:customStyle="1" w:styleId="TitleChar">
    <w:name w:val="Title Char"/>
    <w:basedOn w:val="DefaultParagraphFont"/>
    <w:link w:val="Title"/>
    <w:uiPriority w:val="10"/>
    <w:rsid w:val="00B673D8"/>
    <w:rPr>
      <w:rFonts w:ascii="Arial" w:hAnsi="Arial" w:cs="Arial"/>
      <w:b/>
      <w:sz w:val="28"/>
    </w:rPr>
  </w:style>
  <w:style w:type="table" w:styleId="TableGrid">
    <w:name w:val="Table Grid"/>
    <w:basedOn w:val="TableNormal"/>
    <w:uiPriority w:val="59"/>
    <w:rsid w:val="00544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BF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D7353B"/>
    <w:rPr>
      <w:rFonts w:asciiTheme="majorHAnsi" w:eastAsiaTheme="majorEastAsia" w:hAnsiTheme="majorHAnsi" w:cstheme="majorBidi"/>
      <w:b/>
      <w:bCs/>
      <w:color w:val="4F81BD" w:themeColor="accent1"/>
      <w:sz w:val="24"/>
    </w:rPr>
  </w:style>
  <w:style w:type="paragraph" w:customStyle="1" w:styleId="ReportTitle">
    <w:name w:val="Report Title"/>
    <w:qFormat/>
    <w:rsid w:val="00E37EE4"/>
    <w:pPr>
      <w:spacing w:after="0" w:line="240" w:lineRule="auto"/>
      <w:ind w:right="2552"/>
      <w:contextualSpacing/>
    </w:pPr>
    <w:rPr>
      <w:rFonts w:eastAsiaTheme="minorEastAsia"/>
      <w:sz w:val="88"/>
      <w:szCs w:val="88"/>
      <w:lang w:eastAsia="ko-KR"/>
    </w:rPr>
  </w:style>
  <w:style w:type="character" w:customStyle="1" w:styleId="ListParagraphChar">
    <w:name w:val="List Paragraph Char"/>
    <w:basedOn w:val="DefaultParagraphFont"/>
    <w:link w:val="ListParagraph"/>
    <w:uiPriority w:val="34"/>
    <w:rsid w:val="007F0CB9"/>
    <w:rPr>
      <w:rFonts w:ascii="Arial" w:hAnsi="Arial" w:cs="Arial"/>
      <w:sz w:val="24"/>
    </w:rPr>
  </w:style>
  <w:style w:type="paragraph" w:styleId="NoSpacing">
    <w:name w:val="No Spacing"/>
    <w:uiPriority w:val="1"/>
    <w:qFormat/>
    <w:rsid w:val="007F0CB9"/>
    <w:pPr>
      <w:spacing w:after="0" w:line="240" w:lineRule="auto"/>
    </w:pPr>
    <w:rPr>
      <w:lang w:val="nl-NL"/>
    </w:rPr>
  </w:style>
  <w:style w:type="character" w:styleId="CommentReference">
    <w:name w:val="annotation reference"/>
    <w:basedOn w:val="DefaultParagraphFont"/>
    <w:uiPriority w:val="99"/>
    <w:semiHidden/>
    <w:unhideWhenUsed/>
    <w:rsid w:val="008F5BD9"/>
    <w:rPr>
      <w:sz w:val="16"/>
      <w:szCs w:val="16"/>
    </w:rPr>
  </w:style>
  <w:style w:type="paragraph" w:styleId="CommentText">
    <w:name w:val="annotation text"/>
    <w:basedOn w:val="Normal"/>
    <w:link w:val="CommentTextChar"/>
    <w:uiPriority w:val="99"/>
    <w:semiHidden/>
    <w:unhideWhenUsed/>
    <w:rsid w:val="008F5BD9"/>
    <w:rPr>
      <w:sz w:val="20"/>
      <w:szCs w:val="20"/>
    </w:rPr>
  </w:style>
  <w:style w:type="character" w:customStyle="1" w:styleId="CommentTextChar">
    <w:name w:val="Comment Text Char"/>
    <w:basedOn w:val="DefaultParagraphFont"/>
    <w:link w:val="CommentText"/>
    <w:uiPriority w:val="99"/>
    <w:semiHidden/>
    <w:rsid w:val="008F5BD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F5BD9"/>
    <w:rPr>
      <w:b/>
      <w:bCs/>
    </w:rPr>
  </w:style>
  <w:style w:type="character" w:customStyle="1" w:styleId="CommentSubjectChar">
    <w:name w:val="Comment Subject Char"/>
    <w:basedOn w:val="CommentTextChar"/>
    <w:link w:val="CommentSubject"/>
    <w:uiPriority w:val="99"/>
    <w:semiHidden/>
    <w:rsid w:val="008F5BD9"/>
    <w:rPr>
      <w:rFonts w:ascii="Arial" w:hAnsi="Arial" w:cs="Arial"/>
      <w:b/>
      <w:bCs/>
      <w:sz w:val="20"/>
      <w:szCs w:val="20"/>
    </w:rPr>
  </w:style>
  <w:style w:type="paragraph" w:customStyle="1" w:styleId="Tableheading1">
    <w:name w:val="Table heading 1"/>
    <w:basedOn w:val="Normal"/>
    <w:qFormat/>
    <w:rsid w:val="00F17E3E"/>
    <w:pPr>
      <w:snapToGrid w:val="0"/>
      <w:spacing w:after="60"/>
      <w:ind w:left="0"/>
    </w:pPr>
    <w:rPr>
      <w:rFonts w:asciiTheme="minorHAnsi" w:eastAsiaTheme="minorEastAsia" w:hAnsiTheme="minorHAnsi" w:cstheme="minorBidi"/>
      <w:b/>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7801-4570-42C3-BD85-2B4CAF76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Heather</dc:creator>
  <cp:lastModifiedBy>O'CALLAGHAN, Jamie (MOORFIELDS EYE HOSPITAL NHS FOUNDATION TRUST)</cp:lastModifiedBy>
  <cp:revision>13</cp:revision>
  <cp:lastPrinted>2021-10-20T19:47:00Z</cp:lastPrinted>
  <dcterms:created xsi:type="dcterms:W3CDTF">2022-04-21T07:59:00Z</dcterms:created>
  <dcterms:modified xsi:type="dcterms:W3CDTF">2022-07-26T08:47:00Z</dcterms:modified>
</cp:coreProperties>
</file>