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3BB9" w14:textId="77777777" w:rsidR="00A84259" w:rsidRDefault="00A84259" w:rsidP="00A84259">
      <w:pPr>
        <w:pStyle w:val="Space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80128F" w:rsidRPr="00973C44" w14:paraId="23C08445"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hideMark/>
          </w:tcPr>
          <w:p w14:paraId="1EA20A4A" w14:textId="77777777" w:rsidR="0080128F" w:rsidRPr="00973C44" w:rsidRDefault="0080128F" w:rsidP="0067324B">
            <w:pPr>
              <w:spacing w:before="0"/>
              <w:rPr>
                <w:rFonts w:cstheme="minorHAnsi"/>
                <w:b/>
                <w:sz w:val="22"/>
              </w:rPr>
            </w:pPr>
            <w:r w:rsidRPr="00973C44">
              <w:rPr>
                <w:rFonts w:cstheme="minorHAnsi"/>
                <w:b/>
                <w:sz w:val="22"/>
              </w:rPr>
              <w:t>Report title</w:t>
            </w:r>
          </w:p>
        </w:tc>
        <w:tc>
          <w:tcPr>
            <w:tcW w:w="6804" w:type="dxa"/>
            <w:tcBorders>
              <w:top w:val="single" w:sz="4" w:space="0" w:color="auto"/>
              <w:left w:val="single" w:sz="4" w:space="0" w:color="auto"/>
              <w:bottom w:val="single" w:sz="4" w:space="0" w:color="auto"/>
              <w:right w:val="single" w:sz="4" w:space="0" w:color="auto"/>
            </w:tcBorders>
            <w:vAlign w:val="center"/>
          </w:tcPr>
          <w:p w14:paraId="497189CE" w14:textId="54BCBF73" w:rsidR="0080128F" w:rsidRPr="00612D65" w:rsidRDefault="00612D65" w:rsidP="00254EAF">
            <w:pPr>
              <w:tabs>
                <w:tab w:val="center" w:pos="4153"/>
                <w:tab w:val="right" w:pos="8306"/>
              </w:tabs>
              <w:spacing w:before="0"/>
              <w:rPr>
                <w:rFonts w:cstheme="minorHAnsi"/>
                <w:sz w:val="22"/>
              </w:rPr>
            </w:pPr>
            <w:r w:rsidRPr="00612D65">
              <w:rPr>
                <w:rFonts w:cstheme="minorHAnsi"/>
                <w:sz w:val="22"/>
              </w:rPr>
              <w:t xml:space="preserve">Monthly Finance </w:t>
            </w:r>
            <w:r w:rsidR="00E25846">
              <w:rPr>
                <w:rFonts w:cstheme="minorHAnsi"/>
                <w:sz w:val="22"/>
              </w:rPr>
              <w:t xml:space="preserve">Performance </w:t>
            </w:r>
            <w:r w:rsidRPr="00612D65">
              <w:rPr>
                <w:rFonts w:cstheme="minorHAnsi"/>
                <w:sz w:val="22"/>
              </w:rPr>
              <w:t xml:space="preserve">Report </w:t>
            </w:r>
            <w:r w:rsidR="0067324B">
              <w:rPr>
                <w:rFonts w:cstheme="minorHAnsi"/>
                <w:sz w:val="22"/>
              </w:rPr>
              <w:t xml:space="preserve">Month </w:t>
            </w:r>
            <w:r w:rsidR="00A230E1">
              <w:rPr>
                <w:rFonts w:cstheme="minorHAnsi"/>
                <w:sz w:val="22"/>
              </w:rPr>
              <w:t>0</w:t>
            </w:r>
            <w:r w:rsidR="00973FEF">
              <w:rPr>
                <w:rFonts w:cstheme="minorHAnsi"/>
                <w:sz w:val="22"/>
              </w:rPr>
              <w:t>9</w:t>
            </w:r>
            <w:r w:rsidR="008917AC">
              <w:rPr>
                <w:rFonts w:cstheme="minorHAnsi"/>
                <w:sz w:val="22"/>
              </w:rPr>
              <w:t xml:space="preserve"> </w:t>
            </w:r>
            <w:r w:rsidRPr="00612D65">
              <w:rPr>
                <w:rFonts w:cstheme="minorHAnsi"/>
                <w:sz w:val="22"/>
              </w:rPr>
              <w:t>–</w:t>
            </w:r>
            <w:r w:rsidR="005513C8">
              <w:rPr>
                <w:rFonts w:cstheme="minorHAnsi"/>
                <w:sz w:val="22"/>
              </w:rPr>
              <w:t xml:space="preserve"> </w:t>
            </w:r>
            <w:r w:rsidR="00973FEF">
              <w:rPr>
                <w:rFonts w:cstheme="minorHAnsi"/>
                <w:sz w:val="22"/>
              </w:rPr>
              <w:t>December</w:t>
            </w:r>
            <w:r w:rsidR="00D912B9">
              <w:rPr>
                <w:rFonts w:cstheme="minorHAnsi"/>
                <w:sz w:val="22"/>
              </w:rPr>
              <w:t xml:space="preserve"> </w:t>
            </w:r>
            <w:r w:rsidR="00A230E1">
              <w:rPr>
                <w:rFonts w:cstheme="minorHAnsi"/>
                <w:sz w:val="22"/>
              </w:rPr>
              <w:t>2022</w:t>
            </w:r>
          </w:p>
        </w:tc>
      </w:tr>
      <w:tr w:rsidR="0080128F" w:rsidRPr="00973C44" w14:paraId="3EF169D3"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2B9F1C24" w14:textId="77777777" w:rsidR="0080128F" w:rsidRPr="00973C44" w:rsidRDefault="0080128F" w:rsidP="0067324B">
            <w:pPr>
              <w:spacing w:before="0"/>
              <w:rPr>
                <w:rFonts w:cstheme="minorHAnsi"/>
                <w:b/>
                <w:sz w:val="22"/>
              </w:rPr>
            </w:pPr>
            <w:r>
              <w:rPr>
                <w:rFonts w:cstheme="minorHAnsi"/>
                <w:b/>
                <w:sz w:val="22"/>
              </w:rPr>
              <w:t xml:space="preserve">Report from </w:t>
            </w:r>
          </w:p>
        </w:tc>
        <w:tc>
          <w:tcPr>
            <w:tcW w:w="6804" w:type="dxa"/>
            <w:tcBorders>
              <w:top w:val="single" w:sz="4" w:space="0" w:color="auto"/>
              <w:left w:val="single" w:sz="4" w:space="0" w:color="auto"/>
              <w:bottom w:val="single" w:sz="4" w:space="0" w:color="auto"/>
              <w:right w:val="single" w:sz="4" w:space="0" w:color="auto"/>
            </w:tcBorders>
            <w:vAlign w:val="center"/>
          </w:tcPr>
          <w:p w14:paraId="12075916" w14:textId="77777777" w:rsidR="0080128F" w:rsidRPr="00612D65" w:rsidRDefault="00612D65" w:rsidP="00465F0E">
            <w:pPr>
              <w:tabs>
                <w:tab w:val="center" w:pos="4153"/>
                <w:tab w:val="right" w:pos="8306"/>
              </w:tabs>
              <w:spacing w:before="0"/>
              <w:rPr>
                <w:rFonts w:cstheme="minorHAnsi"/>
                <w:sz w:val="22"/>
              </w:rPr>
            </w:pPr>
            <w:r w:rsidRPr="00612D65">
              <w:rPr>
                <w:rFonts w:cstheme="minorHAnsi"/>
                <w:sz w:val="22"/>
              </w:rPr>
              <w:t>Jonath</w:t>
            </w:r>
            <w:r w:rsidR="00465F0E">
              <w:rPr>
                <w:rFonts w:cstheme="minorHAnsi"/>
                <w:sz w:val="22"/>
              </w:rPr>
              <w:t>a</w:t>
            </w:r>
            <w:r w:rsidRPr="00612D65">
              <w:rPr>
                <w:rFonts w:cstheme="minorHAnsi"/>
                <w:sz w:val="22"/>
              </w:rPr>
              <w:t>n Wilson, Chief Financial Officer</w:t>
            </w:r>
          </w:p>
        </w:tc>
      </w:tr>
      <w:tr w:rsidR="0080128F" w:rsidRPr="00973C44" w14:paraId="05BEEBBC"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4E758C68" w14:textId="77777777" w:rsidR="0080128F" w:rsidRDefault="0080128F" w:rsidP="0067324B">
            <w:pPr>
              <w:spacing w:before="0"/>
              <w:rPr>
                <w:rFonts w:cstheme="minorHAnsi"/>
                <w:b/>
                <w:sz w:val="22"/>
              </w:rPr>
            </w:pPr>
            <w:r>
              <w:rPr>
                <w:rFonts w:cstheme="minorHAnsi"/>
                <w:b/>
                <w:sz w:val="22"/>
              </w:rPr>
              <w:t>Prepared by</w:t>
            </w:r>
          </w:p>
        </w:tc>
        <w:tc>
          <w:tcPr>
            <w:tcW w:w="6804" w:type="dxa"/>
            <w:tcBorders>
              <w:top w:val="single" w:sz="4" w:space="0" w:color="auto"/>
              <w:left w:val="single" w:sz="4" w:space="0" w:color="auto"/>
              <w:bottom w:val="single" w:sz="4" w:space="0" w:color="auto"/>
              <w:right w:val="single" w:sz="4" w:space="0" w:color="auto"/>
            </w:tcBorders>
            <w:vAlign w:val="center"/>
          </w:tcPr>
          <w:p w14:paraId="0E9859EF" w14:textId="77777777" w:rsidR="00A84259" w:rsidRPr="00612D65" w:rsidRDefault="00612D65" w:rsidP="00A84259">
            <w:pPr>
              <w:tabs>
                <w:tab w:val="center" w:pos="4153"/>
                <w:tab w:val="right" w:pos="8306"/>
              </w:tabs>
              <w:spacing w:before="0"/>
              <w:rPr>
                <w:rFonts w:cstheme="minorHAnsi"/>
                <w:sz w:val="22"/>
              </w:rPr>
            </w:pPr>
            <w:r w:rsidRPr="00612D65">
              <w:rPr>
                <w:rFonts w:cstheme="minorHAnsi"/>
                <w:sz w:val="22"/>
              </w:rPr>
              <w:t xml:space="preserve">Justin Betts, Deputy Chief Financial Officer </w:t>
            </w:r>
          </w:p>
        </w:tc>
      </w:tr>
      <w:tr w:rsidR="0080128F" w:rsidRPr="00973C44" w14:paraId="6E77B3FB" w14:textId="77777777" w:rsidTr="00E22796">
        <w:trPr>
          <w:trHeight w:val="510"/>
        </w:trPr>
        <w:tc>
          <w:tcPr>
            <w:tcW w:w="3544" w:type="dxa"/>
            <w:tcBorders>
              <w:top w:val="single" w:sz="4" w:space="0" w:color="auto"/>
              <w:left w:val="single" w:sz="4" w:space="0" w:color="auto"/>
              <w:bottom w:val="single" w:sz="4" w:space="0" w:color="auto"/>
              <w:right w:val="single" w:sz="4" w:space="0" w:color="auto"/>
            </w:tcBorders>
            <w:vAlign w:val="center"/>
          </w:tcPr>
          <w:p w14:paraId="086650D6" w14:textId="77777777" w:rsidR="0080128F" w:rsidRDefault="0080128F" w:rsidP="0067324B">
            <w:pPr>
              <w:spacing w:before="0"/>
              <w:rPr>
                <w:rFonts w:cstheme="minorHAnsi"/>
                <w:b/>
                <w:sz w:val="22"/>
              </w:rPr>
            </w:pPr>
            <w:r>
              <w:rPr>
                <w:rFonts w:cstheme="minorHAnsi"/>
                <w:b/>
                <w:sz w:val="22"/>
              </w:rPr>
              <w:t>Link to strategic objectives</w:t>
            </w:r>
          </w:p>
        </w:tc>
        <w:tc>
          <w:tcPr>
            <w:tcW w:w="6804" w:type="dxa"/>
            <w:tcBorders>
              <w:top w:val="single" w:sz="4" w:space="0" w:color="auto"/>
              <w:left w:val="single" w:sz="4" w:space="0" w:color="auto"/>
              <w:bottom w:val="single" w:sz="4" w:space="0" w:color="auto"/>
              <w:right w:val="single" w:sz="4" w:space="0" w:color="auto"/>
            </w:tcBorders>
            <w:vAlign w:val="center"/>
          </w:tcPr>
          <w:p w14:paraId="5837C46F" w14:textId="77777777" w:rsidR="0080128F" w:rsidRPr="00612D65" w:rsidRDefault="00612D65" w:rsidP="0067324B">
            <w:pPr>
              <w:tabs>
                <w:tab w:val="center" w:pos="4153"/>
                <w:tab w:val="right" w:pos="8306"/>
              </w:tabs>
              <w:spacing w:before="0"/>
              <w:rPr>
                <w:rFonts w:cstheme="minorHAnsi"/>
                <w:sz w:val="22"/>
              </w:rPr>
            </w:pPr>
            <w:r w:rsidRPr="00612D65">
              <w:rPr>
                <w:rFonts w:cstheme="minorHAnsi"/>
                <w:sz w:val="22"/>
              </w:rPr>
              <w:t>Deliver financial sustainability as a Trust</w:t>
            </w:r>
          </w:p>
        </w:tc>
      </w:tr>
    </w:tbl>
    <w:p w14:paraId="0140A657" w14:textId="77777777" w:rsidR="008A3A03" w:rsidRDefault="008A3A03" w:rsidP="00C34697">
      <w:pPr>
        <w:pStyle w:val="Venue"/>
        <w:tabs>
          <w:tab w:val="left" w:pos="1985"/>
        </w:tabs>
        <w:spacing w:after="0"/>
      </w:pPr>
    </w:p>
    <w:tbl>
      <w:tblPr>
        <w:tblW w:w="10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406"/>
        <w:gridCol w:w="2140"/>
        <w:gridCol w:w="360"/>
        <w:gridCol w:w="2694"/>
        <w:gridCol w:w="506"/>
        <w:gridCol w:w="1336"/>
        <w:gridCol w:w="426"/>
        <w:gridCol w:w="15"/>
      </w:tblGrid>
      <w:tr w:rsidR="0080128F" w:rsidRPr="00973C44" w14:paraId="5D4182CC" w14:textId="77777777" w:rsidTr="00573111">
        <w:trPr>
          <w:trHeight w:val="8341"/>
        </w:trPr>
        <w:tc>
          <w:tcPr>
            <w:tcW w:w="10363" w:type="dxa"/>
            <w:gridSpan w:val="9"/>
            <w:tcBorders>
              <w:top w:val="single" w:sz="4" w:space="0" w:color="auto"/>
              <w:left w:val="single" w:sz="4" w:space="0" w:color="auto"/>
              <w:bottom w:val="single" w:sz="4" w:space="0" w:color="auto"/>
              <w:right w:val="single" w:sz="4" w:space="0" w:color="auto"/>
            </w:tcBorders>
          </w:tcPr>
          <w:p w14:paraId="2839F85A" w14:textId="77777777" w:rsidR="0080128F" w:rsidRPr="0094417B" w:rsidRDefault="0080128F" w:rsidP="001B0E0E">
            <w:pPr>
              <w:jc w:val="both"/>
              <w:rPr>
                <w:rFonts w:cstheme="minorHAnsi"/>
                <w:b/>
                <w:sz w:val="22"/>
              </w:rPr>
            </w:pPr>
            <w:r w:rsidRPr="0094417B">
              <w:rPr>
                <w:rFonts w:cstheme="minorHAnsi"/>
                <w:b/>
                <w:sz w:val="22"/>
              </w:rPr>
              <w:t>Executive summary</w:t>
            </w:r>
          </w:p>
          <w:p w14:paraId="52F956A2" w14:textId="77777777" w:rsidR="00477749" w:rsidRPr="0094417B" w:rsidRDefault="00477749" w:rsidP="004B0305">
            <w:pPr>
              <w:snapToGrid/>
              <w:spacing w:before="0"/>
              <w:jc w:val="both"/>
              <w:rPr>
                <w:rFonts w:ascii="Arial" w:eastAsia="Calibri" w:hAnsi="Arial" w:cs="Arial"/>
                <w:kern w:val="24"/>
                <w:sz w:val="20"/>
                <w:lang w:eastAsia="en-GB"/>
              </w:rPr>
            </w:pPr>
          </w:p>
          <w:p w14:paraId="5307AFF2" w14:textId="7B0F1729" w:rsidR="00C50105" w:rsidRPr="006D48D1" w:rsidRDefault="00C50105" w:rsidP="00C50105">
            <w:pPr>
              <w:jc w:val="both"/>
              <w:rPr>
                <w:rFonts w:eastAsia="Calibri" w:cstheme="minorHAnsi"/>
                <w:b/>
                <w:kern w:val="24"/>
                <w:sz w:val="22"/>
                <w:lang w:eastAsia="en-GB"/>
              </w:rPr>
            </w:pPr>
            <w:r w:rsidRPr="006D48D1">
              <w:rPr>
                <w:rFonts w:eastAsia="Calibri" w:cstheme="minorHAnsi"/>
                <w:b/>
                <w:kern w:val="24"/>
                <w:sz w:val="22"/>
                <w:lang w:eastAsia="en-GB"/>
              </w:rPr>
              <w:t xml:space="preserve">Income and Expenditure </w:t>
            </w:r>
          </w:p>
          <w:p w14:paraId="00F50684" w14:textId="77777777" w:rsidR="00C50105" w:rsidRPr="006D48D1" w:rsidRDefault="00C50105" w:rsidP="00D3385A">
            <w:pPr>
              <w:pStyle w:val="ListParagraph"/>
              <w:numPr>
                <w:ilvl w:val="0"/>
                <w:numId w:val="0"/>
              </w:numPr>
              <w:snapToGrid/>
              <w:spacing w:before="0"/>
              <w:jc w:val="both"/>
              <w:rPr>
                <w:rFonts w:eastAsia="Times New Roman" w:cstheme="minorHAnsi"/>
                <w:sz w:val="22"/>
                <w:lang w:eastAsia="en-GB"/>
              </w:rPr>
            </w:pPr>
          </w:p>
          <w:p w14:paraId="560998E8" w14:textId="71A3D8A1" w:rsidR="00DE7A82" w:rsidRPr="006D48D1" w:rsidRDefault="00DE7A82" w:rsidP="00D3385A">
            <w:pPr>
              <w:pStyle w:val="ListParagraph"/>
              <w:numPr>
                <w:ilvl w:val="0"/>
                <w:numId w:val="0"/>
              </w:numPr>
              <w:snapToGrid/>
              <w:spacing w:before="0"/>
              <w:jc w:val="both"/>
              <w:rPr>
                <w:rFonts w:eastAsia="Times New Roman" w:cstheme="minorHAnsi"/>
                <w:sz w:val="22"/>
                <w:lang w:eastAsia="en-GB"/>
              </w:rPr>
            </w:pPr>
            <w:r w:rsidRPr="006D48D1">
              <w:rPr>
                <w:rFonts w:eastAsia="Times New Roman" w:cstheme="minorHAnsi"/>
                <w:sz w:val="22"/>
                <w:lang w:eastAsia="en-GB"/>
              </w:rPr>
              <w:t xml:space="preserve">For </w:t>
            </w:r>
            <w:r w:rsidR="00973FEF" w:rsidRPr="006D48D1">
              <w:rPr>
                <w:rFonts w:eastAsia="Times New Roman" w:cstheme="minorHAnsi"/>
                <w:sz w:val="22"/>
                <w:lang w:eastAsia="en-GB"/>
              </w:rPr>
              <w:t>December</w:t>
            </w:r>
            <w:r w:rsidR="00600DC6" w:rsidRPr="006D48D1">
              <w:rPr>
                <w:rFonts w:eastAsia="Times New Roman" w:cstheme="minorHAnsi"/>
                <w:sz w:val="22"/>
                <w:lang w:eastAsia="en-GB"/>
              </w:rPr>
              <w:t>,</w:t>
            </w:r>
            <w:r w:rsidR="00917672" w:rsidRPr="006D48D1">
              <w:rPr>
                <w:rFonts w:eastAsia="Times New Roman" w:cstheme="minorHAnsi"/>
                <w:sz w:val="22"/>
                <w:lang w:eastAsia="en-GB"/>
              </w:rPr>
              <w:t xml:space="preserve"> </w:t>
            </w:r>
            <w:r w:rsidRPr="006D48D1">
              <w:rPr>
                <w:rFonts w:eastAsia="Times New Roman" w:cstheme="minorHAnsi"/>
                <w:sz w:val="22"/>
                <w:lang w:eastAsia="en-GB"/>
              </w:rPr>
              <w:t xml:space="preserve">the </w:t>
            </w:r>
            <w:r w:rsidR="006D48D1" w:rsidRPr="006D48D1">
              <w:rPr>
                <w:rFonts w:eastAsia="Times New Roman" w:cstheme="minorHAnsi"/>
                <w:sz w:val="22"/>
                <w:lang w:eastAsia="en-GB"/>
              </w:rPr>
              <w:t>t</w:t>
            </w:r>
            <w:r w:rsidRPr="006D48D1">
              <w:rPr>
                <w:rFonts w:eastAsia="Times New Roman" w:cstheme="minorHAnsi"/>
                <w:sz w:val="22"/>
                <w:lang w:eastAsia="en-GB"/>
              </w:rPr>
              <w:t xml:space="preserve">rust is </w:t>
            </w:r>
            <w:r w:rsidR="0071389C" w:rsidRPr="006D48D1">
              <w:rPr>
                <w:rFonts w:eastAsia="Times New Roman" w:cstheme="minorHAnsi"/>
                <w:sz w:val="22"/>
                <w:lang w:eastAsia="en-GB"/>
              </w:rPr>
              <w:t>reporting:</w:t>
            </w:r>
            <w:r w:rsidRPr="006D48D1">
              <w:rPr>
                <w:rFonts w:eastAsia="Times New Roman" w:cstheme="minorHAnsi"/>
                <w:sz w:val="22"/>
                <w:lang w:eastAsia="en-GB"/>
              </w:rPr>
              <w:t xml:space="preserve">- </w:t>
            </w:r>
          </w:p>
          <w:p w14:paraId="13F6200A" w14:textId="77777777" w:rsidR="00717B03" w:rsidRPr="006D48D1" w:rsidRDefault="00717B03" w:rsidP="00D3385A">
            <w:pPr>
              <w:pStyle w:val="ListParagraph"/>
              <w:numPr>
                <w:ilvl w:val="0"/>
                <w:numId w:val="0"/>
              </w:numPr>
              <w:snapToGrid/>
              <w:spacing w:before="0"/>
              <w:jc w:val="both"/>
              <w:rPr>
                <w:rFonts w:eastAsia="Times New Roman" w:cstheme="minorHAnsi"/>
                <w:sz w:val="22"/>
                <w:lang w:eastAsia="en-GB"/>
              </w:rPr>
            </w:pPr>
          </w:p>
          <w:p w14:paraId="6F5B407A" w14:textId="5DB7DDAD" w:rsidR="00717B03" w:rsidRPr="006D48D1" w:rsidRDefault="00731CDE" w:rsidP="00D3385A">
            <w:pPr>
              <w:pStyle w:val="ListParagraph"/>
              <w:numPr>
                <w:ilvl w:val="0"/>
                <w:numId w:val="0"/>
              </w:numPr>
              <w:snapToGrid/>
              <w:spacing w:before="0"/>
              <w:jc w:val="both"/>
              <w:rPr>
                <w:rFonts w:eastAsia="Times New Roman" w:cstheme="minorHAnsi"/>
                <w:sz w:val="22"/>
                <w:lang w:eastAsia="en-GB"/>
              </w:rPr>
            </w:pPr>
            <w:r w:rsidRPr="006D48D1">
              <w:rPr>
                <w:rFonts w:eastAsia="Times New Roman" w:cstheme="minorHAnsi"/>
                <w:noProof/>
                <w:sz w:val="22"/>
                <w:lang w:eastAsia="en-GB"/>
              </w:rPr>
              <w:drawing>
                <wp:inline distT="0" distB="0" distL="0" distR="0" wp14:anchorId="452CDA51" wp14:editId="53DCEE89">
                  <wp:extent cx="6436360" cy="13404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6360" cy="1340485"/>
                          </a:xfrm>
                          <a:prstGeom prst="rect">
                            <a:avLst/>
                          </a:prstGeom>
                          <a:noFill/>
                          <a:ln>
                            <a:noFill/>
                          </a:ln>
                        </pic:spPr>
                      </pic:pic>
                    </a:graphicData>
                  </a:graphic>
                </wp:inline>
              </w:drawing>
            </w:r>
          </w:p>
          <w:p w14:paraId="78219C08" w14:textId="77777777" w:rsidR="00717B03" w:rsidRPr="006D48D1" w:rsidRDefault="00717B03" w:rsidP="00D3385A">
            <w:pPr>
              <w:pStyle w:val="ListParagraph"/>
              <w:numPr>
                <w:ilvl w:val="0"/>
                <w:numId w:val="0"/>
              </w:numPr>
              <w:snapToGrid/>
              <w:spacing w:before="0"/>
              <w:jc w:val="both"/>
              <w:rPr>
                <w:rFonts w:eastAsia="Times New Roman" w:cstheme="minorHAnsi"/>
                <w:sz w:val="22"/>
                <w:lang w:eastAsia="en-GB"/>
              </w:rPr>
            </w:pPr>
          </w:p>
          <w:p w14:paraId="0F66B99A" w14:textId="50784788" w:rsidR="00D3385A" w:rsidRPr="006D48D1" w:rsidRDefault="006D48D1" w:rsidP="001F65D1">
            <w:pPr>
              <w:pStyle w:val="ListParagraph"/>
              <w:numPr>
                <w:ilvl w:val="0"/>
                <w:numId w:val="11"/>
              </w:numPr>
              <w:snapToGrid/>
              <w:spacing w:before="0"/>
              <w:jc w:val="both"/>
              <w:rPr>
                <w:rFonts w:eastAsia="Times New Roman" w:cstheme="minorHAnsi"/>
                <w:color w:val="000000" w:themeColor="text1"/>
                <w:sz w:val="22"/>
                <w:lang w:eastAsia="en-GB"/>
              </w:rPr>
            </w:pPr>
            <w:r w:rsidRPr="006D48D1">
              <w:rPr>
                <w:rFonts w:eastAsia="Calibri" w:cstheme="minorHAnsi"/>
                <w:color w:val="000000" w:themeColor="text1"/>
                <w:kern w:val="24"/>
                <w:sz w:val="22"/>
                <w:lang w:eastAsia="en-GB"/>
              </w:rPr>
              <w:t>A</w:t>
            </w:r>
            <w:r w:rsidR="001F65D1" w:rsidRPr="006D48D1">
              <w:rPr>
                <w:rFonts w:eastAsia="Calibri" w:cstheme="minorHAnsi"/>
                <w:color w:val="000000" w:themeColor="text1"/>
                <w:kern w:val="24"/>
                <w:sz w:val="22"/>
                <w:lang w:eastAsia="en-GB"/>
              </w:rPr>
              <w:t xml:space="preserve"> £</w:t>
            </w:r>
            <w:r w:rsidR="00731CDE" w:rsidRPr="006D48D1">
              <w:rPr>
                <w:rFonts w:eastAsia="Calibri" w:cstheme="minorHAnsi"/>
                <w:color w:val="000000" w:themeColor="text1"/>
                <w:kern w:val="24"/>
                <w:sz w:val="22"/>
                <w:lang w:eastAsia="en-GB"/>
              </w:rPr>
              <w:t>2.08</w:t>
            </w:r>
            <w:r w:rsidR="001F65D1" w:rsidRPr="006D48D1">
              <w:rPr>
                <w:rFonts w:eastAsia="Calibri" w:cstheme="minorHAnsi"/>
                <w:color w:val="000000" w:themeColor="text1"/>
                <w:kern w:val="24"/>
                <w:sz w:val="22"/>
                <w:lang w:eastAsia="en-GB"/>
              </w:rPr>
              <w:t xml:space="preserve">m </w:t>
            </w:r>
            <w:r w:rsidR="00717B03" w:rsidRPr="006D48D1">
              <w:rPr>
                <w:rFonts w:eastAsia="Calibri" w:cstheme="minorHAnsi"/>
                <w:color w:val="000000" w:themeColor="text1"/>
                <w:kern w:val="24"/>
                <w:sz w:val="22"/>
                <w:lang w:eastAsia="en-GB"/>
              </w:rPr>
              <w:t>surplus</w:t>
            </w:r>
            <w:r w:rsidR="001F65D1" w:rsidRPr="006D48D1">
              <w:rPr>
                <w:rFonts w:eastAsia="Calibri" w:cstheme="minorHAnsi"/>
                <w:color w:val="000000" w:themeColor="text1"/>
                <w:kern w:val="24"/>
                <w:sz w:val="22"/>
                <w:lang w:eastAsia="en-GB"/>
              </w:rPr>
              <w:t xml:space="preserve"> year to date compared to a </w:t>
            </w:r>
            <w:r w:rsidR="00731CDE" w:rsidRPr="006D48D1">
              <w:rPr>
                <w:rFonts w:eastAsia="Calibri" w:cstheme="minorHAnsi"/>
                <w:color w:val="000000" w:themeColor="text1"/>
                <w:kern w:val="24"/>
                <w:sz w:val="22"/>
                <w:lang w:eastAsia="en-GB"/>
              </w:rPr>
              <w:t>deficit</w:t>
            </w:r>
            <w:r w:rsidR="001F65D1" w:rsidRPr="006D48D1">
              <w:rPr>
                <w:rFonts w:eastAsia="Calibri" w:cstheme="minorHAnsi"/>
                <w:color w:val="000000" w:themeColor="text1"/>
                <w:kern w:val="24"/>
                <w:sz w:val="22"/>
                <w:lang w:eastAsia="en-GB"/>
              </w:rPr>
              <w:t xml:space="preserve"> plan of £</w:t>
            </w:r>
            <w:r w:rsidR="00731CDE" w:rsidRPr="006D48D1">
              <w:rPr>
                <w:rFonts w:eastAsia="Calibri" w:cstheme="minorHAnsi"/>
                <w:color w:val="000000" w:themeColor="text1"/>
                <w:kern w:val="24"/>
                <w:sz w:val="22"/>
                <w:lang w:eastAsia="en-GB"/>
              </w:rPr>
              <w:t>1.34</w:t>
            </w:r>
            <w:r w:rsidR="00972BAD" w:rsidRPr="006D48D1">
              <w:rPr>
                <w:rFonts w:eastAsia="Calibri" w:cstheme="minorHAnsi"/>
                <w:color w:val="000000" w:themeColor="text1"/>
                <w:kern w:val="24"/>
                <w:sz w:val="22"/>
                <w:lang w:eastAsia="en-GB"/>
              </w:rPr>
              <w:t>m</w:t>
            </w:r>
            <w:r w:rsidR="001F65D1" w:rsidRPr="006D48D1">
              <w:rPr>
                <w:rFonts w:eastAsia="Calibri" w:cstheme="minorHAnsi"/>
                <w:color w:val="000000" w:themeColor="text1"/>
                <w:kern w:val="24"/>
                <w:sz w:val="22"/>
                <w:lang w:eastAsia="en-GB"/>
              </w:rPr>
              <w:t>, a £</w:t>
            </w:r>
            <w:r w:rsidR="00731CDE" w:rsidRPr="006D48D1">
              <w:rPr>
                <w:rFonts w:eastAsia="Calibri" w:cstheme="minorHAnsi"/>
                <w:color w:val="000000" w:themeColor="text1"/>
                <w:kern w:val="24"/>
                <w:sz w:val="22"/>
                <w:lang w:eastAsia="en-GB"/>
              </w:rPr>
              <w:t>3.42</w:t>
            </w:r>
            <w:r w:rsidR="001F65D1" w:rsidRPr="006D48D1">
              <w:rPr>
                <w:rFonts w:eastAsia="Calibri" w:cstheme="minorHAnsi"/>
                <w:color w:val="000000" w:themeColor="text1"/>
                <w:kern w:val="24"/>
                <w:sz w:val="22"/>
                <w:lang w:eastAsia="en-GB"/>
              </w:rPr>
              <w:t>m favourable variance.</w:t>
            </w:r>
          </w:p>
          <w:p w14:paraId="7C3D5DB2" w14:textId="0F7DD2F3" w:rsidR="00573111" w:rsidRPr="006D48D1" w:rsidRDefault="00F87857" w:rsidP="00573111">
            <w:pPr>
              <w:pStyle w:val="ListParagraph"/>
              <w:numPr>
                <w:ilvl w:val="0"/>
                <w:numId w:val="11"/>
              </w:numPr>
              <w:jc w:val="both"/>
              <w:rPr>
                <w:rFonts w:eastAsia="Calibri" w:cstheme="minorHAnsi"/>
                <w:b/>
                <w:color w:val="000000" w:themeColor="text1"/>
                <w:kern w:val="24"/>
                <w:sz w:val="22"/>
                <w:lang w:eastAsia="en-GB"/>
              </w:rPr>
            </w:pPr>
            <w:r w:rsidRPr="006D48D1">
              <w:rPr>
                <w:rFonts w:eastAsia="Calibri" w:cstheme="minorHAnsi"/>
                <w:color w:val="000000" w:themeColor="text1"/>
                <w:kern w:val="24"/>
                <w:sz w:val="22"/>
                <w:lang w:eastAsia="en-GB"/>
              </w:rPr>
              <w:t>Clinical income in month continues to be estimated based on draft guidance and subject to contracts being signed. National guidance in relation to the formal calculation of income linked to Elective Recovery Funding (ERF) remains in draft</w:t>
            </w:r>
            <w:r w:rsidR="00573111" w:rsidRPr="006D48D1">
              <w:rPr>
                <w:rFonts w:eastAsia="Calibri" w:cstheme="minorHAnsi"/>
                <w:color w:val="000000" w:themeColor="text1"/>
                <w:kern w:val="24"/>
                <w:sz w:val="22"/>
                <w:lang w:eastAsia="en-GB"/>
              </w:rPr>
              <w:t>.</w:t>
            </w:r>
          </w:p>
          <w:p w14:paraId="2936E595" w14:textId="57979E23" w:rsidR="00CB3858" w:rsidRPr="006D48D1" w:rsidRDefault="00675553" w:rsidP="00675553">
            <w:pPr>
              <w:pStyle w:val="ListParagraph"/>
              <w:numPr>
                <w:ilvl w:val="0"/>
                <w:numId w:val="11"/>
              </w:numPr>
              <w:jc w:val="both"/>
              <w:rPr>
                <w:rFonts w:eastAsia="Calibri" w:cstheme="minorHAnsi"/>
                <w:b/>
                <w:kern w:val="24"/>
                <w:sz w:val="22"/>
                <w:lang w:eastAsia="en-GB"/>
              </w:rPr>
            </w:pPr>
            <w:r w:rsidRPr="006D48D1">
              <w:rPr>
                <w:rFonts w:eastAsia="Calibri" w:cstheme="minorHAnsi"/>
                <w:kern w:val="24"/>
                <w:sz w:val="22"/>
                <w:lang w:eastAsia="en-GB"/>
              </w:rPr>
              <w:t xml:space="preserve">The </w:t>
            </w:r>
            <w:r w:rsidR="006D48D1" w:rsidRPr="006D48D1">
              <w:rPr>
                <w:rFonts w:eastAsia="Calibri" w:cstheme="minorHAnsi"/>
                <w:kern w:val="24"/>
                <w:sz w:val="22"/>
                <w:lang w:eastAsia="en-GB"/>
              </w:rPr>
              <w:t>t</w:t>
            </w:r>
            <w:r w:rsidRPr="006D48D1">
              <w:rPr>
                <w:rFonts w:eastAsia="Calibri" w:cstheme="minorHAnsi"/>
                <w:kern w:val="24"/>
                <w:sz w:val="22"/>
                <w:lang w:eastAsia="en-GB"/>
              </w:rPr>
              <w:t xml:space="preserve">rust is reporting a full year forecast of £1.590m surplus, as per its annual plan </w:t>
            </w:r>
            <w:proofErr w:type="gramStart"/>
            <w:r w:rsidRPr="006D48D1">
              <w:rPr>
                <w:rFonts w:eastAsia="Calibri" w:cstheme="minorHAnsi"/>
                <w:kern w:val="24"/>
                <w:sz w:val="22"/>
                <w:lang w:eastAsia="en-GB"/>
              </w:rPr>
              <w:t>at</w:t>
            </w:r>
            <w:proofErr w:type="gramEnd"/>
            <w:r w:rsidRPr="006D48D1">
              <w:rPr>
                <w:rFonts w:eastAsia="Calibri" w:cstheme="minorHAnsi"/>
                <w:kern w:val="24"/>
                <w:sz w:val="22"/>
                <w:lang w:eastAsia="en-GB"/>
              </w:rPr>
              <w:t xml:space="preserve"> 31st December 2022, in accordance with current protocols and agreement within NCL ICB.  This will be subject to amendment from January 2023 reporting (month 10).</w:t>
            </w:r>
          </w:p>
          <w:p w14:paraId="1E4E5141" w14:textId="7BE20717" w:rsidR="00D3385A" w:rsidRPr="006D48D1" w:rsidRDefault="00D3385A" w:rsidP="00CB3858">
            <w:pPr>
              <w:jc w:val="both"/>
              <w:rPr>
                <w:rFonts w:eastAsia="Calibri" w:cstheme="minorHAnsi"/>
                <w:b/>
                <w:kern w:val="24"/>
                <w:sz w:val="22"/>
                <w:lang w:eastAsia="en-GB"/>
              </w:rPr>
            </w:pPr>
            <w:r w:rsidRPr="006D48D1">
              <w:rPr>
                <w:rFonts w:eastAsia="Calibri" w:cstheme="minorHAnsi"/>
                <w:b/>
                <w:kern w:val="24"/>
                <w:sz w:val="22"/>
                <w:lang w:eastAsia="en-GB"/>
              </w:rPr>
              <w:t>Capital Expenditure</w:t>
            </w:r>
          </w:p>
          <w:p w14:paraId="3BC66F37" w14:textId="72316B76" w:rsidR="00675553" w:rsidRPr="006D48D1" w:rsidRDefault="00675553" w:rsidP="00BB7193">
            <w:pPr>
              <w:pStyle w:val="ListParagraph"/>
              <w:numPr>
                <w:ilvl w:val="0"/>
                <w:numId w:val="12"/>
              </w:numPr>
              <w:rPr>
                <w:rFonts w:eastAsia="Calibri" w:cstheme="minorHAnsi"/>
                <w:bCs/>
                <w:kern w:val="24"/>
                <w:sz w:val="22"/>
                <w:lang w:eastAsia="en-GB"/>
              </w:rPr>
            </w:pPr>
            <w:r w:rsidRPr="006D48D1">
              <w:rPr>
                <w:rFonts w:eastAsia="Calibri" w:cstheme="minorHAnsi"/>
                <w:bCs/>
                <w:kern w:val="24"/>
                <w:sz w:val="22"/>
                <w:lang w:eastAsia="en-GB"/>
              </w:rPr>
              <w:t xml:space="preserve">Capital expenditure </w:t>
            </w:r>
            <w:r w:rsidR="006D48D1" w:rsidRPr="006D48D1">
              <w:rPr>
                <w:rFonts w:eastAsia="Calibri" w:cstheme="minorHAnsi"/>
                <w:bCs/>
                <w:kern w:val="24"/>
                <w:sz w:val="22"/>
                <w:lang w:eastAsia="en-GB"/>
              </w:rPr>
              <w:t xml:space="preserve">as </w:t>
            </w:r>
            <w:proofErr w:type="gramStart"/>
            <w:r w:rsidRPr="006D48D1">
              <w:rPr>
                <w:rFonts w:eastAsia="Calibri" w:cstheme="minorHAnsi"/>
                <w:bCs/>
                <w:kern w:val="24"/>
                <w:sz w:val="22"/>
                <w:lang w:eastAsia="en-GB"/>
              </w:rPr>
              <w:t>at</w:t>
            </w:r>
            <w:proofErr w:type="gramEnd"/>
            <w:r w:rsidRPr="006D48D1">
              <w:rPr>
                <w:rFonts w:eastAsia="Calibri" w:cstheme="minorHAnsi"/>
                <w:bCs/>
                <w:kern w:val="24"/>
                <w:sz w:val="22"/>
                <w:lang w:eastAsia="en-GB"/>
              </w:rPr>
              <w:t xml:space="preserve"> 31</w:t>
            </w:r>
            <w:r w:rsidRPr="006D48D1">
              <w:rPr>
                <w:rFonts w:eastAsia="Calibri" w:cstheme="minorHAnsi"/>
                <w:bCs/>
                <w:kern w:val="24"/>
                <w:sz w:val="22"/>
                <w:vertAlign w:val="superscript"/>
                <w:lang w:eastAsia="en-GB"/>
              </w:rPr>
              <w:t>st</w:t>
            </w:r>
            <w:r w:rsidRPr="006D48D1">
              <w:rPr>
                <w:rFonts w:eastAsia="Calibri" w:cstheme="minorHAnsi"/>
                <w:bCs/>
                <w:kern w:val="24"/>
                <w:sz w:val="22"/>
                <w:lang w:eastAsia="en-GB"/>
              </w:rPr>
              <w:t xml:space="preserve"> December totalled £10.0m, against an internal plan of £21.3m, £11.3m adverse to plan due to delayed expenditure om TIF £5.3m, Oriel £0.6m, New Cavendish Street £0.8m and other delivery timeframe slippage of divisional schemes.</w:t>
            </w:r>
          </w:p>
          <w:p w14:paraId="14C6C920" w14:textId="77777777" w:rsidR="0006111E" w:rsidRPr="006D48D1" w:rsidRDefault="00675553" w:rsidP="00BB7193">
            <w:pPr>
              <w:pStyle w:val="ListParagraph"/>
              <w:numPr>
                <w:ilvl w:val="0"/>
                <w:numId w:val="12"/>
              </w:numPr>
              <w:rPr>
                <w:rFonts w:eastAsia="Calibri" w:cstheme="minorHAnsi"/>
                <w:bCs/>
                <w:kern w:val="24"/>
                <w:sz w:val="22"/>
                <w:lang w:eastAsia="en-GB"/>
              </w:rPr>
            </w:pPr>
            <w:r w:rsidRPr="006D48D1">
              <w:rPr>
                <w:rFonts w:eastAsia="Calibri" w:cstheme="minorHAnsi"/>
                <w:bCs/>
                <w:kern w:val="24"/>
                <w:sz w:val="22"/>
                <w:lang w:eastAsia="en-GB"/>
              </w:rPr>
              <w:t>The overall forecast has now increased to £74.5m against an initial plan of £70.5m due to Oriel spend from 2023/24 being brought forward into this financial year.</w:t>
            </w:r>
          </w:p>
          <w:p w14:paraId="1647D84B" w14:textId="291E9C61" w:rsidR="006C3698" w:rsidRPr="00BB7193" w:rsidRDefault="006C3698" w:rsidP="00BB7193">
            <w:pPr>
              <w:pStyle w:val="ListParagraph"/>
              <w:numPr>
                <w:ilvl w:val="0"/>
                <w:numId w:val="12"/>
              </w:numPr>
              <w:rPr>
                <w:rFonts w:eastAsia="Calibri" w:cstheme="minorHAnsi"/>
                <w:bCs/>
                <w:kern w:val="24"/>
                <w:sz w:val="20"/>
                <w:szCs w:val="20"/>
                <w:lang w:eastAsia="en-GB"/>
              </w:rPr>
            </w:pPr>
            <w:r w:rsidRPr="006D48D1">
              <w:rPr>
                <w:rFonts w:eastAsia="Calibri" w:cstheme="minorHAnsi"/>
                <w:bCs/>
                <w:kern w:val="24"/>
                <w:sz w:val="22"/>
                <w:lang w:eastAsia="en-GB"/>
              </w:rPr>
              <w:t>Full year expenditure in relation to the Stratford hub development is being reviewed in relation to 2022/23 delivery.</w:t>
            </w:r>
          </w:p>
        </w:tc>
      </w:tr>
      <w:tr w:rsidR="0080128F" w:rsidRPr="00973C44" w14:paraId="3A7CD5C7" w14:textId="77777777" w:rsidTr="00477749">
        <w:trPr>
          <w:trHeight w:val="557"/>
        </w:trPr>
        <w:tc>
          <w:tcPr>
            <w:tcW w:w="10363" w:type="dxa"/>
            <w:gridSpan w:val="9"/>
            <w:tcBorders>
              <w:top w:val="single" w:sz="4" w:space="0" w:color="auto"/>
              <w:left w:val="single" w:sz="4" w:space="0" w:color="auto"/>
              <w:bottom w:val="single" w:sz="4" w:space="0" w:color="auto"/>
              <w:right w:val="single" w:sz="4" w:space="0" w:color="auto"/>
            </w:tcBorders>
          </w:tcPr>
          <w:p w14:paraId="3543A5E0" w14:textId="77777777" w:rsidR="0080128F" w:rsidRDefault="0080128F" w:rsidP="00477749">
            <w:pPr>
              <w:spacing w:before="0"/>
              <w:rPr>
                <w:rFonts w:cstheme="minorHAnsi"/>
                <w:b/>
                <w:sz w:val="22"/>
              </w:rPr>
            </w:pPr>
            <w:r>
              <w:rPr>
                <w:rFonts w:cstheme="minorHAnsi"/>
                <w:b/>
                <w:sz w:val="22"/>
              </w:rPr>
              <w:t>Quality implications</w:t>
            </w:r>
          </w:p>
          <w:p w14:paraId="7F3F4D13" w14:textId="77777777" w:rsidR="0080128F" w:rsidRPr="00973C44" w:rsidRDefault="00E4144D" w:rsidP="00477749">
            <w:pPr>
              <w:spacing w:before="0"/>
              <w:rPr>
                <w:rFonts w:cstheme="minorHAnsi"/>
                <w:b/>
                <w:sz w:val="22"/>
              </w:rPr>
            </w:pPr>
            <w:r w:rsidRPr="00E4144D">
              <w:rPr>
                <w:rFonts w:cstheme="minorHAnsi"/>
                <w:sz w:val="22"/>
              </w:rPr>
              <w:t>Patient safety has been considered in the allocation of budgets.</w:t>
            </w:r>
          </w:p>
        </w:tc>
      </w:tr>
      <w:tr w:rsidR="0080128F" w:rsidRPr="00973C44" w14:paraId="109EC811" w14:textId="77777777" w:rsidTr="00125EF6">
        <w:trPr>
          <w:trHeight w:val="837"/>
        </w:trPr>
        <w:tc>
          <w:tcPr>
            <w:tcW w:w="10363" w:type="dxa"/>
            <w:gridSpan w:val="9"/>
            <w:tcBorders>
              <w:top w:val="single" w:sz="4" w:space="0" w:color="auto"/>
              <w:left w:val="single" w:sz="4" w:space="0" w:color="auto"/>
              <w:bottom w:val="single" w:sz="4" w:space="0" w:color="auto"/>
              <w:right w:val="single" w:sz="4" w:space="0" w:color="auto"/>
            </w:tcBorders>
          </w:tcPr>
          <w:p w14:paraId="62220124" w14:textId="77777777" w:rsidR="0080128F" w:rsidRDefault="0080128F" w:rsidP="00477749">
            <w:pPr>
              <w:spacing w:before="0"/>
              <w:rPr>
                <w:rFonts w:cstheme="minorHAnsi"/>
                <w:b/>
                <w:sz w:val="22"/>
              </w:rPr>
            </w:pPr>
            <w:r>
              <w:rPr>
                <w:rFonts w:cstheme="minorHAnsi"/>
                <w:b/>
                <w:sz w:val="22"/>
              </w:rPr>
              <w:t>Financial implications</w:t>
            </w:r>
          </w:p>
          <w:p w14:paraId="4D92B7B7" w14:textId="77777777" w:rsidR="0080128F" w:rsidRPr="00973C44" w:rsidRDefault="00E4144D" w:rsidP="00477749">
            <w:pPr>
              <w:spacing w:before="0"/>
              <w:rPr>
                <w:rFonts w:cstheme="minorHAnsi"/>
                <w:b/>
                <w:sz w:val="22"/>
              </w:rPr>
            </w:pPr>
            <w:r w:rsidRPr="00E4144D">
              <w:rPr>
                <w:rFonts w:cstheme="minorHAnsi"/>
                <w:sz w:val="22"/>
              </w:rPr>
              <w:t xml:space="preserve">Delivery of the </w:t>
            </w:r>
            <w:r>
              <w:rPr>
                <w:rFonts w:cstheme="minorHAnsi"/>
                <w:sz w:val="22"/>
              </w:rPr>
              <w:t xml:space="preserve">financial </w:t>
            </w:r>
            <w:r w:rsidRPr="00E4144D">
              <w:rPr>
                <w:rFonts w:cstheme="minorHAnsi"/>
                <w:sz w:val="22"/>
              </w:rPr>
              <w:t>control total will result in the Trust being eligible for additional benefits that will support its future development.</w:t>
            </w:r>
          </w:p>
        </w:tc>
      </w:tr>
      <w:tr w:rsidR="0080128F" w:rsidRPr="00973C44" w14:paraId="07B94474" w14:textId="77777777" w:rsidTr="00125EF6">
        <w:trPr>
          <w:trHeight w:val="836"/>
        </w:trPr>
        <w:tc>
          <w:tcPr>
            <w:tcW w:w="10363" w:type="dxa"/>
            <w:gridSpan w:val="9"/>
            <w:tcBorders>
              <w:top w:val="single" w:sz="4" w:space="0" w:color="auto"/>
              <w:left w:val="single" w:sz="4" w:space="0" w:color="auto"/>
              <w:bottom w:val="single" w:sz="4" w:space="0" w:color="auto"/>
              <w:right w:val="single" w:sz="4" w:space="0" w:color="auto"/>
            </w:tcBorders>
          </w:tcPr>
          <w:p w14:paraId="366DECD3" w14:textId="77777777" w:rsidR="0080128F" w:rsidRDefault="0080128F" w:rsidP="00477749">
            <w:pPr>
              <w:spacing w:before="0"/>
              <w:rPr>
                <w:rFonts w:cstheme="minorHAnsi"/>
                <w:b/>
                <w:sz w:val="22"/>
              </w:rPr>
            </w:pPr>
            <w:r>
              <w:rPr>
                <w:rFonts w:cstheme="minorHAnsi"/>
                <w:b/>
                <w:sz w:val="22"/>
              </w:rPr>
              <w:t>Risk implications</w:t>
            </w:r>
          </w:p>
          <w:p w14:paraId="32231A6B" w14:textId="77777777" w:rsidR="0080128F" w:rsidRPr="00973C44" w:rsidRDefault="00E4144D" w:rsidP="00477749">
            <w:pPr>
              <w:spacing w:before="0"/>
              <w:rPr>
                <w:rFonts w:cstheme="minorHAnsi"/>
                <w:b/>
                <w:sz w:val="22"/>
              </w:rPr>
            </w:pPr>
            <w:r w:rsidRPr="00E4144D">
              <w:rPr>
                <w:rFonts w:cstheme="minorHAnsi"/>
                <w:sz w:val="22"/>
              </w:rPr>
              <w:t>Potential risks have been considered within the reported financial position and the financial risk register is discussed at the Audit Committee.</w:t>
            </w:r>
          </w:p>
        </w:tc>
      </w:tr>
      <w:tr w:rsidR="0080128F" w:rsidRPr="00973C44" w14:paraId="554C1727" w14:textId="77777777" w:rsidTr="007033D0">
        <w:trPr>
          <w:trHeight w:val="647"/>
        </w:trPr>
        <w:tc>
          <w:tcPr>
            <w:tcW w:w="10363" w:type="dxa"/>
            <w:gridSpan w:val="9"/>
            <w:tcBorders>
              <w:top w:val="single" w:sz="4" w:space="0" w:color="auto"/>
              <w:left w:val="single" w:sz="4" w:space="0" w:color="auto"/>
              <w:bottom w:val="single" w:sz="4" w:space="0" w:color="auto"/>
              <w:right w:val="single" w:sz="4" w:space="0" w:color="auto"/>
            </w:tcBorders>
          </w:tcPr>
          <w:p w14:paraId="6983D7DA" w14:textId="77777777" w:rsidR="0080128F" w:rsidRPr="00973C44" w:rsidRDefault="0080128F" w:rsidP="00477749">
            <w:pPr>
              <w:spacing w:before="0"/>
              <w:rPr>
                <w:rFonts w:cstheme="minorHAnsi"/>
                <w:b/>
                <w:sz w:val="22"/>
              </w:rPr>
            </w:pPr>
            <w:r w:rsidRPr="00973C44">
              <w:rPr>
                <w:rFonts w:cstheme="minorHAnsi"/>
                <w:b/>
                <w:sz w:val="22"/>
              </w:rPr>
              <w:t>Action Required/Recommendation</w:t>
            </w:r>
          </w:p>
          <w:p w14:paraId="01FCAB81" w14:textId="77777777" w:rsidR="0080128F" w:rsidRPr="00973C44" w:rsidRDefault="00E4144D" w:rsidP="00477749">
            <w:pPr>
              <w:spacing w:before="0"/>
              <w:jc w:val="both"/>
              <w:rPr>
                <w:rFonts w:cstheme="minorHAnsi"/>
                <w:sz w:val="22"/>
              </w:rPr>
            </w:pPr>
            <w:r>
              <w:rPr>
                <w:rFonts w:cstheme="minorHAnsi"/>
                <w:sz w:val="22"/>
              </w:rPr>
              <w:t>The board is asked to consider and discus the attached report.</w:t>
            </w:r>
          </w:p>
        </w:tc>
      </w:tr>
      <w:tr w:rsidR="00125EF6" w:rsidRPr="00973C44" w14:paraId="5EFE0B02" w14:textId="77777777" w:rsidTr="00125EF6">
        <w:trPr>
          <w:gridAfter w:val="1"/>
          <w:wAfter w:w="15" w:type="dxa"/>
        </w:trPr>
        <w:tc>
          <w:tcPr>
            <w:tcW w:w="2480" w:type="dxa"/>
            <w:tcBorders>
              <w:top w:val="single" w:sz="4" w:space="0" w:color="auto"/>
              <w:left w:val="single" w:sz="4" w:space="0" w:color="auto"/>
              <w:bottom w:val="single" w:sz="4" w:space="0" w:color="auto"/>
              <w:right w:val="single" w:sz="4" w:space="0" w:color="auto"/>
            </w:tcBorders>
            <w:vAlign w:val="center"/>
          </w:tcPr>
          <w:p w14:paraId="63212236" w14:textId="77777777" w:rsidR="0080128F" w:rsidRPr="00973C44" w:rsidRDefault="0080128F" w:rsidP="001B0E0E">
            <w:pPr>
              <w:jc w:val="right"/>
              <w:rPr>
                <w:rFonts w:cstheme="minorHAnsi"/>
                <w:b/>
                <w:sz w:val="22"/>
              </w:rPr>
            </w:pPr>
            <w:r w:rsidRPr="00973C44">
              <w:rPr>
                <w:rFonts w:cstheme="minorHAnsi"/>
                <w:b/>
                <w:sz w:val="22"/>
              </w:rPr>
              <w:t>For Assurance</w:t>
            </w:r>
          </w:p>
        </w:tc>
        <w:tc>
          <w:tcPr>
            <w:tcW w:w="406" w:type="dxa"/>
            <w:tcBorders>
              <w:top w:val="single" w:sz="4" w:space="0" w:color="auto"/>
              <w:left w:val="single" w:sz="4" w:space="0" w:color="auto"/>
              <w:bottom w:val="single" w:sz="4" w:space="0" w:color="auto"/>
              <w:right w:val="single" w:sz="4" w:space="0" w:color="auto"/>
            </w:tcBorders>
            <w:vAlign w:val="center"/>
          </w:tcPr>
          <w:p w14:paraId="092A69CE" w14:textId="77777777" w:rsidR="0080128F" w:rsidRPr="00973C44" w:rsidRDefault="0080128F" w:rsidP="001B0E0E">
            <w:pPr>
              <w:jc w:val="right"/>
              <w:rPr>
                <w:rFonts w:cstheme="minorHAnsi"/>
                <w:b/>
                <w:sz w:val="22"/>
              </w:rPr>
            </w:pPr>
          </w:p>
        </w:tc>
        <w:tc>
          <w:tcPr>
            <w:tcW w:w="2140" w:type="dxa"/>
            <w:tcBorders>
              <w:top w:val="single" w:sz="4" w:space="0" w:color="auto"/>
              <w:left w:val="single" w:sz="4" w:space="0" w:color="auto"/>
              <w:bottom w:val="single" w:sz="4" w:space="0" w:color="auto"/>
              <w:right w:val="single" w:sz="4" w:space="0" w:color="auto"/>
            </w:tcBorders>
            <w:vAlign w:val="center"/>
          </w:tcPr>
          <w:p w14:paraId="3B29C4CD" w14:textId="77777777" w:rsidR="0080128F" w:rsidRPr="00973C44" w:rsidRDefault="0080128F" w:rsidP="001B0E0E">
            <w:pPr>
              <w:jc w:val="right"/>
              <w:rPr>
                <w:rFonts w:cstheme="minorHAnsi"/>
                <w:b/>
                <w:sz w:val="22"/>
              </w:rPr>
            </w:pPr>
            <w:r w:rsidRPr="00973C44">
              <w:rPr>
                <w:rFonts w:cstheme="minorHAnsi"/>
                <w:b/>
                <w:sz w:val="22"/>
              </w:rPr>
              <w:t>For decision</w:t>
            </w:r>
          </w:p>
        </w:tc>
        <w:tc>
          <w:tcPr>
            <w:tcW w:w="360" w:type="dxa"/>
            <w:tcBorders>
              <w:top w:val="single" w:sz="4" w:space="0" w:color="auto"/>
              <w:left w:val="single" w:sz="4" w:space="0" w:color="auto"/>
              <w:bottom w:val="single" w:sz="4" w:space="0" w:color="auto"/>
              <w:right w:val="single" w:sz="4" w:space="0" w:color="auto"/>
            </w:tcBorders>
            <w:vAlign w:val="center"/>
          </w:tcPr>
          <w:p w14:paraId="4C6FB275" w14:textId="77777777" w:rsidR="0080128F" w:rsidRPr="00973C44" w:rsidRDefault="0080128F" w:rsidP="001B0E0E">
            <w:pPr>
              <w:jc w:val="right"/>
              <w:rPr>
                <w:rFonts w:cstheme="minorHAnsi"/>
                <w:b/>
                <w:sz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41DFF01" w14:textId="77777777" w:rsidR="0080128F" w:rsidRPr="00973C44" w:rsidRDefault="0080128F" w:rsidP="001B0E0E">
            <w:pPr>
              <w:jc w:val="right"/>
              <w:rPr>
                <w:rFonts w:cstheme="minorHAnsi"/>
                <w:b/>
                <w:sz w:val="22"/>
              </w:rPr>
            </w:pPr>
            <w:r w:rsidRPr="00973C44">
              <w:rPr>
                <w:rFonts w:cstheme="minorHAnsi"/>
                <w:b/>
                <w:sz w:val="22"/>
              </w:rPr>
              <w:t>For discussion</w:t>
            </w:r>
          </w:p>
        </w:tc>
        <w:tc>
          <w:tcPr>
            <w:tcW w:w="506" w:type="dxa"/>
            <w:tcBorders>
              <w:top w:val="single" w:sz="4" w:space="0" w:color="auto"/>
              <w:left w:val="single" w:sz="4" w:space="0" w:color="auto"/>
              <w:bottom w:val="single" w:sz="4" w:space="0" w:color="auto"/>
              <w:right w:val="single" w:sz="4" w:space="0" w:color="auto"/>
            </w:tcBorders>
            <w:vAlign w:val="center"/>
          </w:tcPr>
          <w:p w14:paraId="3DCCB4A9" w14:textId="77777777" w:rsidR="0080128F" w:rsidRPr="00973C44" w:rsidRDefault="00E4144D" w:rsidP="001B0E0E">
            <w:pPr>
              <w:jc w:val="right"/>
              <w:rPr>
                <w:rFonts w:cstheme="minorHAnsi"/>
                <w:b/>
                <w:sz w:val="22"/>
              </w:rPr>
            </w:pPr>
            <w:r>
              <w:rPr>
                <w:rFonts w:cstheme="minorHAnsi"/>
                <w:b/>
                <w:sz w:val="22"/>
              </w:rPr>
              <w:sym w:font="Wingdings" w:char="F0FC"/>
            </w:r>
          </w:p>
        </w:tc>
        <w:tc>
          <w:tcPr>
            <w:tcW w:w="1336" w:type="dxa"/>
            <w:tcBorders>
              <w:top w:val="single" w:sz="4" w:space="0" w:color="auto"/>
              <w:left w:val="single" w:sz="4" w:space="0" w:color="auto"/>
              <w:bottom w:val="single" w:sz="4" w:space="0" w:color="auto"/>
              <w:right w:val="single" w:sz="4" w:space="0" w:color="auto"/>
            </w:tcBorders>
            <w:vAlign w:val="center"/>
          </w:tcPr>
          <w:p w14:paraId="713B956D" w14:textId="77777777" w:rsidR="0080128F" w:rsidRPr="00973C44" w:rsidRDefault="0080128F" w:rsidP="001B0E0E">
            <w:pPr>
              <w:jc w:val="right"/>
              <w:rPr>
                <w:rFonts w:cstheme="minorHAnsi"/>
                <w:b/>
                <w:sz w:val="22"/>
              </w:rPr>
            </w:pPr>
            <w:r w:rsidRPr="00973C44">
              <w:rPr>
                <w:rFonts w:cstheme="minorHAnsi"/>
                <w:b/>
                <w:sz w:val="22"/>
              </w:rPr>
              <w:t>To note</w:t>
            </w:r>
          </w:p>
        </w:tc>
        <w:tc>
          <w:tcPr>
            <w:tcW w:w="426" w:type="dxa"/>
            <w:tcBorders>
              <w:top w:val="single" w:sz="4" w:space="0" w:color="auto"/>
              <w:left w:val="single" w:sz="4" w:space="0" w:color="auto"/>
              <w:bottom w:val="single" w:sz="4" w:space="0" w:color="auto"/>
              <w:right w:val="single" w:sz="4" w:space="0" w:color="auto"/>
            </w:tcBorders>
            <w:vAlign w:val="center"/>
          </w:tcPr>
          <w:p w14:paraId="15E0753B" w14:textId="77777777" w:rsidR="0080128F" w:rsidRPr="00973C44" w:rsidRDefault="00E4144D" w:rsidP="001B0E0E">
            <w:pPr>
              <w:rPr>
                <w:rFonts w:cstheme="minorHAnsi"/>
                <w:b/>
                <w:sz w:val="22"/>
              </w:rPr>
            </w:pPr>
            <w:r>
              <w:rPr>
                <w:rFonts w:cstheme="minorHAnsi"/>
                <w:b/>
                <w:sz w:val="22"/>
              </w:rPr>
              <w:sym w:font="Wingdings" w:char="F0FC"/>
            </w:r>
          </w:p>
        </w:tc>
      </w:tr>
    </w:tbl>
    <w:p w14:paraId="52F93CDE" w14:textId="77777777" w:rsidR="008C4F0B" w:rsidRPr="008C4F0B" w:rsidRDefault="008C4F0B" w:rsidP="007033D0"/>
    <w:sectPr w:rsidR="008C4F0B" w:rsidRPr="008C4F0B" w:rsidSect="00D417BB">
      <w:headerReference w:type="first" r:id="rId8"/>
      <w:pgSz w:w="11906" w:h="16838" w:code="9"/>
      <w:pgMar w:top="44" w:right="720" w:bottom="67" w:left="720"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1463" w14:textId="77777777" w:rsidR="008917AC" w:rsidRDefault="008917AC" w:rsidP="008B14E9">
      <w:r>
        <w:separator/>
      </w:r>
    </w:p>
  </w:endnote>
  <w:endnote w:type="continuationSeparator" w:id="0">
    <w:p w14:paraId="43142C54" w14:textId="77777777" w:rsidR="008917AC" w:rsidRDefault="008917AC"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AE7E" w14:textId="77777777" w:rsidR="008917AC" w:rsidRDefault="008917AC" w:rsidP="008B14E9">
      <w:r>
        <w:separator/>
      </w:r>
    </w:p>
  </w:footnote>
  <w:footnote w:type="continuationSeparator" w:id="0">
    <w:p w14:paraId="73638025" w14:textId="77777777" w:rsidR="008917AC" w:rsidRDefault="008917AC" w:rsidP="008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7DFB" w14:textId="77777777" w:rsidR="008917AC" w:rsidRPr="007247DF" w:rsidRDefault="008917AC" w:rsidP="000B62C2">
    <w:r w:rsidRPr="007247DF">
      <w:rPr>
        <w:noProof/>
        <w:lang w:eastAsia="en-GB"/>
      </w:rPr>
      <w:drawing>
        <wp:anchor distT="0" distB="0" distL="114300" distR="114300" simplePos="0" relativeHeight="251658752" behindDoc="0" locked="0" layoutInCell="1" allowOverlap="1" wp14:anchorId="3E8AC863" wp14:editId="6D364EE3">
          <wp:simplePos x="0" y="0"/>
          <wp:positionH relativeFrom="margin">
            <wp:align>right</wp:align>
          </wp:positionH>
          <wp:positionV relativeFrom="paragraph">
            <wp:posOffset>85725</wp:posOffset>
          </wp:positionV>
          <wp:extent cx="909320" cy="36639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577D3AE5" wp14:editId="7A495AB3">
          <wp:extent cx="2559277" cy="684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CFE"/>
    <w:multiLevelType w:val="hybridMultilevel"/>
    <w:tmpl w:val="344832EC"/>
    <w:lvl w:ilvl="0" w:tplc="F0582A1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1EA2"/>
    <w:multiLevelType w:val="hybridMultilevel"/>
    <w:tmpl w:val="DA4AE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87AE1"/>
    <w:multiLevelType w:val="hybridMultilevel"/>
    <w:tmpl w:val="9D3A682C"/>
    <w:lvl w:ilvl="0" w:tplc="C0C60AB6">
      <w:start w:val="1"/>
      <w:numFmt w:val="bullet"/>
      <w:lvlText w:val="•"/>
      <w:lvlJc w:val="left"/>
      <w:pPr>
        <w:tabs>
          <w:tab w:val="num" w:pos="720"/>
        </w:tabs>
        <w:ind w:left="720" w:hanging="360"/>
      </w:pPr>
      <w:rPr>
        <w:rFonts w:ascii="Arial" w:hAnsi="Arial" w:hint="default"/>
      </w:rPr>
    </w:lvl>
    <w:lvl w:ilvl="1" w:tplc="21A4FA6C" w:tentative="1">
      <w:start w:val="1"/>
      <w:numFmt w:val="bullet"/>
      <w:lvlText w:val="•"/>
      <w:lvlJc w:val="left"/>
      <w:pPr>
        <w:tabs>
          <w:tab w:val="num" w:pos="1440"/>
        </w:tabs>
        <w:ind w:left="1440" w:hanging="360"/>
      </w:pPr>
      <w:rPr>
        <w:rFonts w:ascii="Arial" w:hAnsi="Arial" w:hint="default"/>
      </w:rPr>
    </w:lvl>
    <w:lvl w:ilvl="2" w:tplc="C4523456" w:tentative="1">
      <w:start w:val="1"/>
      <w:numFmt w:val="bullet"/>
      <w:lvlText w:val="•"/>
      <w:lvlJc w:val="left"/>
      <w:pPr>
        <w:tabs>
          <w:tab w:val="num" w:pos="2160"/>
        </w:tabs>
        <w:ind w:left="2160" w:hanging="360"/>
      </w:pPr>
      <w:rPr>
        <w:rFonts w:ascii="Arial" w:hAnsi="Arial" w:hint="default"/>
      </w:rPr>
    </w:lvl>
    <w:lvl w:ilvl="3" w:tplc="26945F9C" w:tentative="1">
      <w:start w:val="1"/>
      <w:numFmt w:val="bullet"/>
      <w:lvlText w:val="•"/>
      <w:lvlJc w:val="left"/>
      <w:pPr>
        <w:tabs>
          <w:tab w:val="num" w:pos="2880"/>
        </w:tabs>
        <w:ind w:left="2880" w:hanging="360"/>
      </w:pPr>
      <w:rPr>
        <w:rFonts w:ascii="Arial" w:hAnsi="Arial" w:hint="default"/>
      </w:rPr>
    </w:lvl>
    <w:lvl w:ilvl="4" w:tplc="38E2B5E0" w:tentative="1">
      <w:start w:val="1"/>
      <w:numFmt w:val="bullet"/>
      <w:lvlText w:val="•"/>
      <w:lvlJc w:val="left"/>
      <w:pPr>
        <w:tabs>
          <w:tab w:val="num" w:pos="3600"/>
        </w:tabs>
        <w:ind w:left="3600" w:hanging="360"/>
      </w:pPr>
      <w:rPr>
        <w:rFonts w:ascii="Arial" w:hAnsi="Arial" w:hint="default"/>
      </w:rPr>
    </w:lvl>
    <w:lvl w:ilvl="5" w:tplc="F530DE06" w:tentative="1">
      <w:start w:val="1"/>
      <w:numFmt w:val="bullet"/>
      <w:lvlText w:val="•"/>
      <w:lvlJc w:val="left"/>
      <w:pPr>
        <w:tabs>
          <w:tab w:val="num" w:pos="4320"/>
        </w:tabs>
        <w:ind w:left="4320" w:hanging="360"/>
      </w:pPr>
      <w:rPr>
        <w:rFonts w:ascii="Arial" w:hAnsi="Arial" w:hint="default"/>
      </w:rPr>
    </w:lvl>
    <w:lvl w:ilvl="6" w:tplc="05087AC0" w:tentative="1">
      <w:start w:val="1"/>
      <w:numFmt w:val="bullet"/>
      <w:lvlText w:val="•"/>
      <w:lvlJc w:val="left"/>
      <w:pPr>
        <w:tabs>
          <w:tab w:val="num" w:pos="5040"/>
        </w:tabs>
        <w:ind w:left="5040" w:hanging="360"/>
      </w:pPr>
      <w:rPr>
        <w:rFonts w:ascii="Arial" w:hAnsi="Arial" w:hint="default"/>
      </w:rPr>
    </w:lvl>
    <w:lvl w:ilvl="7" w:tplc="9AC6121C" w:tentative="1">
      <w:start w:val="1"/>
      <w:numFmt w:val="bullet"/>
      <w:lvlText w:val="•"/>
      <w:lvlJc w:val="left"/>
      <w:pPr>
        <w:tabs>
          <w:tab w:val="num" w:pos="5760"/>
        </w:tabs>
        <w:ind w:left="5760" w:hanging="360"/>
      </w:pPr>
      <w:rPr>
        <w:rFonts w:ascii="Arial" w:hAnsi="Arial" w:hint="default"/>
      </w:rPr>
    </w:lvl>
    <w:lvl w:ilvl="8" w:tplc="416405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BE7AE7"/>
    <w:multiLevelType w:val="hybridMultilevel"/>
    <w:tmpl w:val="B7CEF44C"/>
    <w:lvl w:ilvl="0" w:tplc="8B3C24AC">
      <w:numFmt w:val="bullet"/>
      <w:pStyle w:val="ListParagraph"/>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452E2"/>
    <w:multiLevelType w:val="hybridMultilevel"/>
    <w:tmpl w:val="FF46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4437F"/>
    <w:multiLevelType w:val="hybridMultilevel"/>
    <w:tmpl w:val="62EA0B66"/>
    <w:lvl w:ilvl="0" w:tplc="B23AD496">
      <w:start w:val="1"/>
      <w:numFmt w:val="bullet"/>
      <w:lvlText w:val="•"/>
      <w:lvlJc w:val="left"/>
      <w:pPr>
        <w:tabs>
          <w:tab w:val="num" w:pos="720"/>
        </w:tabs>
        <w:ind w:left="720" w:hanging="360"/>
      </w:pPr>
      <w:rPr>
        <w:rFonts w:ascii="Arial" w:hAnsi="Arial" w:hint="default"/>
      </w:rPr>
    </w:lvl>
    <w:lvl w:ilvl="1" w:tplc="119C0956" w:tentative="1">
      <w:start w:val="1"/>
      <w:numFmt w:val="bullet"/>
      <w:lvlText w:val="•"/>
      <w:lvlJc w:val="left"/>
      <w:pPr>
        <w:tabs>
          <w:tab w:val="num" w:pos="1440"/>
        </w:tabs>
        <w:ind w:left="1440" w:hanging="360"/>
      </w:pPr>
      <w:rPr>
        <w:rFonts w:ascii="Arial" w:hAnsi="Arial" w:hint="default"/>
      </w:rPr>
    </w:lvl>
    <w:lvl w:ilvl="2" w:tplc="A8F6888E" w:tentative="1">
      <w:start w:val="1"/>
      <w:numFmt w:val="bullet"/>
      <w:lvlText w:val="•"/>
      <w:lvlJc w:val="left"/>
      <w:pPr>
        <w:tabs>
          <w:tab w:val="num" w:pos="2160"/>
        </w:tabs>
        <w:ind w:left="2160" w:hanging="360"/>
      </w:pPr>
      <w:rPr>
        <w:rFonts w:ascii="Arial" w:hAnsi="Arial" w:hint="default"/>
      </w:rPr>
    </w:lvl>
    <w:lvl w:ilvl="3" w:tplc="101658BA" w:tentative="1">
      <w:start w:val="1"/>
      <w:numFmt w:val="bullet"/>
      <w:lvlText w:val="•"/>
      <w:lvlJc w:val="left"/>
      <w:pPr>
        <w:tabs>
          <w:tab w:val="num" w:pos="2880"/>
        </w:tabs>
        <w:ind w:left="2880" w:hanging="360"/>
      </w:pPr>
      <w:rPr>
        <w:rFonts w:ascii="Arial" w:hAnsi="Arial" w:hint="default"/>
      </w:rPr>
    </w:lvl>
    <w:lvl w:ilvl="4" w:tplc="3CA01DB8" w:tentative="1">
      <w:start w:val="1"/>
      <w:numFmt w:val="bullet"/>
      <w:lvlText w:val="•"/>
      <w:lvlJc w:val="left"/>
      <w:pPr>
        <w:tabs>
          <w:tab w:val="num" w:pos="3600"/>
        </w:tabs>
        <w:ind w:left="3600" w:hanging="360"/>
      </w:pPr>
      <w:rPr>
        <w:rFonts w:ascii="Arial" w:hAnsi="Arial" w:hint="default"/>
      </w:rPr>
    </w:lvl>
    <w:lvl w:ilvl="5" w:tplc="787E1B90" w:tentative="1">
      <w:start w:val="1"/>
      <w:numFmt w:val="bullet"/>
      <w:lvlText w:val="•"/>
      <w:lvlJc w:val="left"/>
      <w:pPr>
        <w:tabs>
          <w:tab w:val="num" w:pos="4320"/>
        </w:tabs>
        <w:ind w:left="4320" w:hanging="360"/>
      </w:pPr>
      <w:rPr>
        <w:rFonts w:ascii="Arial" w:hAnsi="Arial" w:hint="default"/>
      </w:rPr>
    </w:lvl>
    <w:lvl w:ilvl="6" w:tplc="D34A3C34" w:tentative="1">
      <w:start w:val="1"/>
      <w:numFmt w:val="bullet"/>
      <w:lvlText w:val="•"/>
      <w:lvlJc w:val="left"/>
      <w:pPr>
        <w:tabs>
          <w:tab w:val="num" w:pos="5040"/>
        </w:tabs>
        <w:ind w:left="5040" w:hanging="360"/>
      </w:pPr>
      <w:rPr>
        <w:rFonts w:ascii="Arial" w:hAnsi="Arial" w:hint="default"/>
      </w:rPr>
    </w:lvl>
    <w:lvl w:ilvl="7" w:tplc="28468514" w:tentative="1">
      <w:start w:val="1"/>
      <w:numFmt w:val="bullet"/>
      <w:lvlText w:val="•"/>
      <w:lvlJc w:val="left"/>
      <w:pPr>
        <w:tabs>
          <w:tab w:val="num" w:pos="5760"/>
        </w:tabs>
        <w:ind w:left="5760" w:hanging="360"/>
      </w:pPr>
      <w:rPr>
        <w:rFonts w:ascii="Arial" w:hAnsi="Arial" w:hint="default"/>
      </w:rPr>
    </w:lvl>
    <w:lvl w:ilvl="8" w:tplc="B0DED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3C7CBB"/>
    <w:multiLevelType w:val="hybridMultilevel"/>
    <w:tmpl w:val="C83E9EB6"/>
    <w:lvl w:ilvl="0" w:tplc="44A04294">
      <w:start w:val="1"/>
      <w:numFmt w:val="bullet"/>
      <w:lvlText w:val="•"/>
      <w:lvlJc w:val="left"/>
      <w:pPr>
        <w:tabs>
          <w:tab w:val="num" w:pos="720"/>
        </w:tabs>
        <w:ind w:left="720" w:hanging="360"/>
      </w:pPr>
      <w:rPr>
        <w:rFonts w:ascii="Arial" w:hAnsi="Arial" w:hint="default"/>
      </w:rPr>
    </w:lvl>
    <w:lvl w:ilvl="1" w:tplc="95BCF748" w:tentative="1">
      <w:start w:val="1"/>
      <w:numFmt w:val="bullet"/>
      <w:lvlText w:val="•"/>
      <w:lvlJc w:val="left"/>
      <w:pPr>
        <w:tabs>
          <w:tab w:val="num" w:pos="1440"/>
        </w:tabs>
        <w:ind w:left="1440" w:hanging="360"/>
      </w:pPr>
      <w:rPr>
        <w:rFonts w:ascii="Arial" w:hAnsi="Arial" w:hint="default"/>
      </w:rPr>
    </w:lvl>
    <w:lvl w:ilvl="2" w:tplc="0AEC7984" w:tentative="1">
      <w:start w:val="1"/>
      <w:numFmt w:val="bullet"/>
      <w:lvlText w:val="•"/>
      <w:lvlJc w:val="left"/>
      <w:pPr>
        <w:tabs>
          <w:tab w:val="num" w:pos="2160"/>
        </w:tabs>
        <w:ind w:left="2160" w:hanging="360"/>
      </w:pPr>
      <w:rPr>
        <w:rFonts w:ascii="Arial" w:hAnsi="Arial" w:hint="default"/>
      </w:rPr>
    </w:lvl>
    <w:lvl w:ilvl="3" w:tplc="18BA17EE" w:tentative="1">
      <w:start w:val="1"/>
      <w:numFmt w:val="bullet"/>
      <w:lvlText w:val="•"/>
      <w:lvlJc w:val="left"/>
      <w:pPr>
        <w:tabs>
          <w:tab w:val="num" w:pos="2880"/>
        </w:tabs>
        <w:ind w:left="2880" w:hanging="360"/>
      </w:pPr>
      <w:rPr>
        <w:rFonts w:ascii="Arial" w:hAnsi="Arial" w:hint="default"/>
      </w:rPr>
    </w:lvl>
    <w:lvl w:ilvl="4" w:tplc="53F425A4" w:tentative="1">
      <w:start w:val="1"/>
      <w:numFmt w:val="bullet"/>
      <w:lvlText w:val="•"/>
      <w:lvlJc w:val="left"/>
      <w:pPr>
        <w:tabs>
          <w:tab w:val="num" w:pos="3600"/>
        </w:tabs>
        <w:ind w:left="3600" w:hanging="360"/>
      </w:pPr>
      <w:rPr>
        <w:rFonts w:ascii="Arial" w:hAnsi="Arial" w:hint="default"/>
      </w:rPr>
    </w:lvl>
    <w:lvl w:ilvl="5" w:tplc="6E4E25B4" w:tentative="1">
      <w:start w:val="1"/>
      <w:numFmt w:val="bullet"/>
      <w:lvlText w:val="•"/>
      <w:lvlJc w:val="left"/>
      <w:pPr>
        <w:tabs>
          <w:tab w:val="num" w:pos="4320"/>
        </w:tabs>
        <w:ind w:left="4320" w:hanging="360"/>
      </w:pPr>
      <w:rPr>
        <w:rFonts w:ascii="Arial" w:hAnsi="Arial" w:hint="default"/>
      </w:rPr>
    </w:lvl>
    <w:lvl w:ilvl="6" w:tplc="B0CC33DE" w:tentative="1">
      <w:start w:val="1"/>
      <w:numFmt w:val="bullet"/>
      <w:lvlText w:val="•"/>
      <w:lvlJc w:val="left"/>
      <w:pPr>
        <w:tabs>
          <w:tab w:val="num" w:pos="5040"/>
        </w:tabs>
        <w:ind w:left="5040" w:hanging="360"/>
      </w:pPr>
      <w:rPr>
        <w:rFonts w:ascii="Arial" w:hAnsi="Arial" w:hint="default"/>
      </w:rPr>
    </w:lvl>
    <w:lvl w:ilvl="7" w:tplc="52982678" w:tentative="1">
      <w:start w:val="1"/>
      <w:numFmt w:val="bullet"/>
      <w:lvlText w:val="•"/>
      <w:lvlJc w:val="left"/>
      <w:pPr>
        <w:tabs>
          <w:tab w:val="num" w:pos="5760"/>
        </w:tabs>
        <w:ind w:left="5760" w:hanging="360"/>
      </w:pPr>
      <w:rPr>
        <w:rFonts w:ascii="Arial" w:hAnsi="Arial" w:hint="default"/>
      </w:rPr>
    </w:lvl>
    <w:lvl w:ilvl="8" w:tplc="4C3E7C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516F9B"/>
    <w:multiLevelType w:val="hybridMultilevel"/>
    <w:tmpl w:val="0B38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6241E"/>
    <w:multiLevelType w:val="hybridMultilevel"/>
    <w:tmpl w:val="BE5ED4DC"/>
    <w:lvl w:ilvl="0" w:tplc="08090001">
      <w:start w:val="1"/>
      <w:numFmt w:val="bullet"/>
      <w:lvlText w:val=""/>
      <w:lvlJc w:val="left"/>
      <w:pPr>
        <w:ind w:left="720" w:hanging="360"/>
      </w:pPr>
      <w:rPr>
        <w:rFonts w:ascii="Symbol" w:hAnsi="Symbol" w:hint="default"/>
      </w:rPr>
    </w:lvl>
    <w:lvl w:ilvl="1" w:tplc="825222B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81655">
    <w:abstractNumId w:val="2"/>
  </w:num>
  <w:num w:numId="2" w16cid:durableId="233860450">
    <w:abstractNumId w:val="3"/>
  </w:num>
  <w:num w:numId="3" w16cid:durableId="316229398">
    <w:abstractNumId w:val="5"/>
  </w:num>
  <w:num w:numId="4" w16cid:durableId="422383027">
    <w:abstractNumId w:val="8"/>
  </w:num>
  <w:num w:numId="5" w16cid:durableId="1059787696">
    <w:abstractNumId w:val="7"/>
  </w:num>
  <w:num w:numId="6" w16cid:durableId="281544427">
    <w:abstractNumId w:val="0"/>
  </w:num>
  <w:num w:numId="7" w16cid:durableId="1997297651">
    <w:abstractNumId w:val="1"/>
  </w:num>
  <w:num w:numId="8" w16cid:durableId="1734429050">
    <w:abstractNumId w:val="4"/>
  </w:num>
  <w:num w:numId="9" w16cid:durableId="1420759155">
    <w:abstractNumId w:val="6"/>
  </w:num>
  <w:num w:numId="10" w16cid:durableId="1892420741">
    <w:abstractNumId w:val="5"/>
  </w:num>
  <w:num w:numId="11" w16cid:durableId="224026759">
    <w:abstractNumId w:val="9"/>
  </w:num>
  <w:num w:numId="12" w16cid:durableId="1145703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31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8F"/>
    <w:rsid w:val="000128C9"/>
    <w:rsid w:val="00024E15"/>
    <w:rsid w:val="00044DDF"/>
    <w:rsid w:val="00045DDB"/>
    <w:rsid w:val="0006111E"/>
    <w:rsid w:val="00087C1A"/>
    <w:rsid w:val="00090685"/>
    <w:rsid w:val="00096AF9"/>
    <w:rsid w:val="000A415E"/>
    <w:rsid w:val="000B62C2"/>
    <w:rsid w:val="000C6D97"/>
    <w:rsid w:val="000D56E3"/>
    <w:rsid w:val="000D72F3"/>
    <w:rsid w:val="000E3A20"/>
    <w:rsid w:val="000E5C17"/>
    <w:rsid w:val="001100A2"/>
    <w:rsid w:val="00117702"/>
    <w:rsid w:val="00125EF6"/>
    <w:rsid w:val="00143CD7"/>
    <w:rsid w:val="001B0E0E"/>
    <w:rsid w:val="001B1959"/>
    <w:rsid w:val="001D4740"/>
    <w:rsid w:val="001F3C1F"/>
    <w:rsid w:val="001F65D1"/>
    <w:rsid w:val="002135F2"/>
    <w:rsid w:val="00223452"/>
    <w:rsid w:val="00224827"/>
    <w:rsid w:val="00245426"/>
    <w:rsid w:val="002465C6"/>
    <w:rsid w:val="00254210"/>
    <w:rsid w:val="00254581"/>
    <w:rsid w:val="00254EAF"/>
    <w:rsid w:val="00256FBA"/>
    <w:rsid w:val="00270070"/>
    <w:rsid w:val="002704E9"/>
    <w:rsid w:val="0029325B"/>
    <w:rsid w:val="002B5CAA"/>
    <w:rsid w:val="002C2F41"/>
    <w:rsid w:val="002C5DE3"/>
    <w:rsid w:val="002F0A11"/>
    <w:rsid w:val="0031319D"/>
    <w:rsid w:val="00314D3E"/>
    <w:rsid w:val="00345FA8"/>
    <w:rsid w:val="00375269"/>
    <w:rsid w:val="00376D84"/>
    <w:rsid w:val="003865A7"/>
    <w:rsid w:val="003B36DE"/>
    <w:rsid w:val="003C43F3"/>
    <w:rsid w:val="003E72A2"/>
    <w:rsid w:val="003F779A"/>
    <w:rsid w:val="0040600F"/>
    <w:rsid w:val="00411B22"/>
    <w:rsid w:val="00413FBC"/>
    <w:rsid w:val="004271C0"/>
    <w:rsid w:val="004544AB"/>
    <w:rsid w:val="00465F0E"/>
    <w:rsid w:val="00477749"/>
    <w:rsid w:val="00493E01"/>
    <w:rsid w:val="004B0305"/>
    <w:rsid w:val="004C245D"/>
    <w:rsid w:val="004D0DDB"/>
    <w:rsid w:val="004F39E7"/>
    <w:rsid w:val="004F56F6"/>
    <w:rsid w:val="00502706"/>
    <w:rsid w:val="00520734"/>
    <w:rsid w:val="0054798B"/>
    <w:rsid w:val="005513C8"/>
    <w:rsid w:val="00573111"/>
    <w:rsid w:val="00595D4C"/>
    <w:rsid w:val="005C3570"/>
    <w:rsid w:val="005C6E82"/>
    <w:rsid w:val="005F7E90"/>
    <w:rsid w:val="00600DC6"/>
    <w:rsid w:val="00610C20"/>
    <w:rsid w:val="00612D65"/>
    <w:rsid w:val="0063393B"/>
    <w:rsid w:val="0065244C"/>
    <w:rsid w:val="0065289B"/>
    <w:rsid w:val="0065600D"/>
    <w:rsid w:val="0067324B"/>
    <w:rsid w:val="00675553"/>
    <w:rsid w:val="00692B00"/>
    <w:rsid w:val="006B401C"/>
    <w:rsid w:val="006B5B2F"/>
    <w:rsid w:val="006C3698"/>
    <w:rsid w:val="006D48D1"/>
    <w:rsid w:val="007033D0"/>
    <w:rsid w:val="00703B39"/>
    <w:rsid w:val="00712FDB"/>
    <w:rsid w:val="0071389C"/>
    <w:rsid w:val="0071672E"/>
    <w:rsid w:val="00717B03"/>
    <w:rsid w:val="0072399C"/>
    <w:rsid w:val="007247DF"/>
    <w:rsid w:val="00731CDE"/>
    <w:rsid w:val="00750F1E"/>
    <w:rsid w:val="007665DB"/>
    <w:rsid w:val="00794BC1"/>
    <w:rsid w:val="007C01CF"/>
    <w:rsid w:val="007C5792"/>
    <w:rsid w:val="007F5388"/>
    <w:rsid w:val="0080128F"/>
    <w:rsid w:val="008272A8"/>
    <w:rsid w:val="008917AC"/>
    <w:rsid w:val="008A3659"/>
    <w:rsid w:val="008A3A03"/>
    <w:rsid w:val="008A6577"/>
    <w:rsid w:val="008B14E9"/>
    <w:rsid w:val="008B7380"/>
    <w:rsid w:val="008C3132"/>
    <w:rsid w:val="008C3834"/>
    <w:rsid w:val="008C4F0B"/>
    <w:rsid w:val="008C6B32"/>
    <w:rsid w:val="008D34FC"/>
    <w:rsid w:val="008D6F35"/>
    <w:rsid w:val="00900631"/>
    <w:rsid w:val="00900A00"/>
    <w:rsid w:val="00901FE0"/>
    <w:rsid w:val="009058CF"/>
    <w:rsid w:val="00917672"/>
    <w:rsid w:val="00926338"/>
    <w:rsid w:val="0094417B"/>
    <w:rsid w:val="00952221"/>
    <w:rsid w:val="00954E4B"/>
    <w:rsid w:val="00972BAD"/>
    <w:rsid w:val="00973FEF"/>
    <w:rsid w:val="00976BB0"/>
    <w:rsid w:val="00986195"/>
    <w:rsid w:val="009927F7"/>
    <w:rsid w:val="009A4F5A"/>
    <w:rsid w:val="00A05510"/>
    <w:rsid w:val="00A20103"/>
    <w:rsid w:val="00A230E1"/>
    <w:rsid w:val="00A74109"/>
    <w:rsid w:val="00A84259"/>
    <w:rsid w:val="00A85A7A"/>
    <w:rsid w:val="00AA292E"/>
    <w:rsid w:val="00AA6241"/>
    <w:rsid w:val="00AD7200"/>
    <w:rsid w:val="00AD768A"/>
    <w:rsid w:val="00AF405F"/>
    <w:rsid w:val="00AF7C7D"/>
    <w:rsid w:val="00B0631D"/>
    <w:rsid w:val="00B11BAB"/>
    <w:rsid w:val="00BB298D"/>
    <w:rsid w:val="00BB7193"/>
    <w:rsid w:val="00C275B7"/>
    <w:rsid w:val="00C27A45"/>
    <w:rsid w:val="00C34697"/>
    <w:rsid w:val="00C50105"/>
    <w:rsid w:val="00C60D1C"/>
    <w:rsid w:val="00CB3858"/>
    <w:rsid w:val="00CE1B0C"/>
    <w:rsid w:val="00D074B0"/>
    <w:rsid w:val="00D3385A"/>
    <w:rsid w:val="00D40E71"/>
    <w:rsid w:val="00D417BB"/>
    <w:rsid w:val="00D612F1"/>
    <w:rsid w:val="00D65B52"/>
    <w:rsid w:val="00D7672A"/>
    <w:rsid w:val="00D770C6"/>
    <w:rsid w:val="00D86D66"/>
    <w:rsid w:val="00D912B9"/>
    <w:rsid w:val="00D941C1"/>
    <w:rsid w:val="00DA0C14"/>
    <w:rsid w:val="00DB3EC2"/>
    <w:rsid w:val="00DC3B55"/>
    <w:rsid w:val="00DE0AC5"/>
    <w:rsid w:val="00DE7A82"/>
    <w:rsid w:val="00DF4E2F"/>
    <w:rsid w:val="00DF71F0"/>
    <w:rsid w:val="00E12B49"/>
    <w:rsid w:val="00E22796"/>
    <w:rsid w:val="00E25846"/>
    <w:rsid w:val="00E25A7F"/>
    <w:rsid w:val="00E37BD6"/>
    <w:rsid w:val="00E4144D"/>
    <w:rsid w:val="00E41EF6"/>
    <w:rsid w:val="00E4272C"/>
    <w:rsid w:val="00E50BED"/>
    <w:rsid w:val="00E65163"/>
    <w:rsid w:val="00EA6135"/>
    <w:rsid w:val="00EB7254"/>
    <w:rsid w:val="00EC3EB0"/>
    <w:rsid w:val="00EC6A86"/>
    <w:rsid w:val="00ED28D9"/>
    <w:rsid w:val="00EF4359"/>
    <w:rsid w:val="00F0092F"/>
    <w:rsid w:val="00F22D30"/>
    <w:rsid w:val="00F577A9"/>
    <w:rsid w:val="00F778E4"/>
    <w:rsid w:val="00F86717"/>
    <w:rsid w:val="00F87857"/>
    <w:rsid w:val="00F96C76"/>
    <w:rsid w:val="00FA0984"/>
    <w:rsid w:val="00FB0018"/>
    <w:rsid w:val="00FB4DC9"/>
    <w:rsid w:val="00FC592A"/>
    <w:rsid w:val="00FD1892"/>
    <w:rsid w:val="00FD3E0D"/>
    <w:rsid w:val="00FD49D0"/>
    <w:rsid w:val="00FE20B3"/>
    <w:rsid w:val="00FF53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31482D02"/>
  <w15:docId w15:val="{B3F2FBDA-3178-47BF-8DB6-BDEF79C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4C"/>
    <w:pPr>
      <w:snapToGrid w:val="0"/>
      <w:spacing w:before="120" w:after="0" w:line="240" w:lineRule="auto"/>
    </w:pPr>
    <w:rPr>
      <w:sz w:val="24"/>
    </w:rPr>
  </w:style>
  <w:style w:type="paragraph" w:styleId="Heading1">
    <w:name w:val="heading 1"/>
    <w:next w:val="Normal"/>
    <w:link w:val="Heading1Char"/>
    <w:uiPriority w:val="9"/>
    <w:qFormat/>
    <w:rsid w:val="007247DF"/>
    <w:pPr>
      <w:suppressAutoHyphens/>
      <w:autoSpaceDE w:val="0"/>
      <w:autoSpaceDN w:val="0"/>
      <w:adjustRightInd w:val="0"/>
      <w:spacing w:after="360"/>
      <w:textAlignment w:val="center"/>
      <w:outlineLvl w:val="0"/>
    </w:pPr>
    <w:rPr>
      <w:rFonts w:ascii="Arial" w:hAnsi="Arial" w:cs="Arial"/>
      <w:b/>
      <w:noProof/>
      <w:color w:val="005EB8" w:themeColor="accent1"/>
      <w:sz w:val="32"/>
      <w:szCs w:val="32"/>
    </w:rPr>
  </w:style>
  <w:style w:type="paragraph" w:styleId="Heading2">
    <w:name w:val="heading 2"/>
    <w:next w:val="Normal"/>
    <w:link w:val="Heading2Char"/>
    <w:uiPriority w:val="9"/>
    <w:unhideWhenUsed/>
    <w:qFormat/>
    <w:rsid w:val="002B5CAA"/>
    <w:pPr>
      <w:spacing w:before="240"/>
      <w:outlineLvl w:val="1"/>
    </w:pPr>
    <w:rPr>
      <w:b/>
      <w:sz w:val="23"/>
    </w:rPr>
  </w:style>
  <w:style w:type="paragraph" w:styleId="Heading3">
    <w:name w:val="heading 3"/>
    <w:basedOn w:val="Embargoed"/>
    <w:next w:val="Normal"/>
    <w:link w:val="Heading3Char"/>
    <w:uiPriority w:val="9"/>
    <w:unhideWhenUsed/>
    <w:rsid w:val="007247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3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A3A03"/>
    <w:pPr>
      <w:spacing w:before="0"/>
    </w:pPr>
  </w:style>
  <w:style w:type="character" w:customStyle="1" w:styleId="Heading1Char">
    <w:name w:val="Heading 1 Char"/>
    <w:basedOn w:val="DefaultParagraphFont"/>
    <w:link w:val="Heading1"/>
    <w:uiPriority w:val="9"/>
    <w:rsid w:val="007247DF"/>
    <w:rPr>
      <w:rFonts w:ascii="Arial" w:hAnsi="Arial" w:cs="Arial"/>
      <w:b/>
      <w:noProof/>
      <w:color w:val="005EB8" w:themeColor="accent1"/>
      <w:sz w:val="32"/>
      <w:szCs w:val="32"/>
    </w:rPr>
  </w:style>
  <w:style w:type="paragraph" w:styleId="ListParagraph">
    <w:name w:val="List Paragraph"/>
    <w:basedOn w:val="Normal"/>
    <w:uiPriority w:val="34"/>
    <w:qFormat/>
    <w:rsid w:val="001B1959"/>
    <w:pPr>
      <w:numPr>
        <w:numId w:val="3"/>
      </w:numPr>
      <w:contextualSpacing/>
    </w:pPr>
  </w:style>
  <w:style w:type="character" w:customStyle="1" w:styleId="Heading2Char">
    <w:name w:val="Heading 2 Char"/>
    <w:basedOn w:val="DefaultParagraphFont"/>
    <w:link w:val="Heading2"/>
    <w:uiPriority w:val="9"/>
    <w:rsid w:val="002B5CAA"/>
    <w:rPr>
      <w:b/>
      <w:sz w:val="23"/>
    </w:rPr>
  </w:style>
  <w:style w:type="paragraph" w:styleId="BalloonText">
    <w:name w:val="Balloon Text"/>
    <w:basedOn w:val="Normal"/>
    <w:link w:val="BalloonTextChar"/>
    <w:uiPriority w:val="99"/>
    <w:semiHidden/>
    <w:unhideWhenUsed/>
    <w:rsid w:val="00EA613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7247DF"/>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rsid w:val="007247DF"/>
  </w:style>
  <w:style w:type="paragraph" w:customStyle="1" w:styleId="Style1">
    <w:name w:val="Style1"/>
    <w:basedOn w:val="Notestoeditors"/>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Agenda">
    <w:name w:val="Agenda"/>
    <w:qFormat/>
    <w:rsid w:val="00EC6A86"/>
    <w:rPr>
      <w:sz w:val="48"/>
      <w:szCs w:val="48"/>
    </w:rPr>
  </w:style>
  <w:style w:type="paragraph" w:customStyle="1" w:styleId="Meetingdetails">
    <w:name w:val="Meeting details"/>
    <w:basedOn w:val="Normal"/>
    <w:qFormat/>
    <w:rsid w:val="008A3A03"/>
    <w:pPr>
      <w:spacing w:before="240"/>
      <w:contextualSpacing/>
    </w:pPr>
    <w:rPr>
      <w:b/>
    </w:rPr>
  </w:style>
  <w:style w:type="paragraph" w:customStyle="1" w:styleId="Present">
    <w:name w:val="Present:"/>
    <w:basedOn w:val="Meetingdetails"/>
    <w:qFormat/>
    <w:rsid w:val="008A3A03"/>
    <w:pPr>
      <w:spacing w:before="480" w:after="120"/>
    </w:pPr>
  </w:style>
  <w:style w:type="paragraph" w:customStyle="1" w:styleId="Tabletitles">
    <w:name w:val="Table titles"/>
    <w:basedOn w:val="Tabletext"/>
    <w:qFormat/>
    <w:rsid w:val="008A3A03"/>
    <w:rPr>
      <w:b/>
    </w:rPr>
  </w:style>
  <w:style w:type="paragraph" w:customStyle="1" w:styleId="Tableheading1">
    <w:name w:val="Table heading 1"/>
    <w:basedOn w:val="Tabletext"/>
    <w:qFormat/>
    <w:rsid w:val="00A85A7A"/>
    <w:pPr>
      <w:spacing w:after="60"/>
    </w:pPr>
    <w:rPr>
      <w:b/>
    </w:rPr>
  </w:style>
  <w:style w:type="paragraph" w:customStyle="1" w:styleId="Nameofmeeting">
    <w:name w:val="Name of meeting"/>
    <w:basedOn w:val="Normal"/>
    <w:qFormat/>
    <w:rsid w:val="00270070"/>
    <w:pPr>
      <w:spacing w:before="0"/>
    </w:pPr>
    <w:rPr>
      <w:b/>
    </w:rPr>
  </w:style>
  <w:style w:type="paragraph" w:styleId="NormalWeb">
    <w:name w:val="Normal (Web)"/>
    <w:basedOn w:val="Normal"/>
    <w:uiPriority w:val="99"/>
    <w:semiHidden/>
    <w:unhideWhenUsed/>
    <w:rsid w:val="000B62C2"/>
    <w:pPr>
      <w:snapToGrid/>
      <w:spacing w:before="100" w:beforeAutospacing="1" w:after="100" w:afterAutospacing="1"/>
    </w:pPr>
    <w:rPr>
      <w:rFonts w:ascii="Times New Roman" w:eastAsia="Times New Roman" w:hAnsi="Times New Roman" w:cs="Times New Roman"/>
      <w:szCs w:val="24"/>
    </w:rPr>
  </w:style>
  <w:style w:type="paragraph" w:customStyle="1" w:styleId="Venue">
    <w:name w:val="Venue"/>
    <w:basedOn w:val="Meetingdetails"/>
    <w:rsid w:val="008C4F0B"/>
    <w:pPr>
      <w:spacing w:before="0" w:after="360"/>
    </w:pPr>
    <w:rPr>
      <w:rFonts w:cs="Times New Roman"/>
      <w:bCs/>
      <w:szCs w:val="20"/>
    </w:rPr>
  </w:style>
  <w:style w:type="paragraph" w:customStyle="1" w:styleId="Spacer">
    <w:name w:val="Spacer"/>
    <w:basedOn w:val="Normal"/>
    <w:next w:val="Normal"/>
    <w:qFormat/>
    <w:rsid w:val="008C4F0B"/>
    <w:pPr>
      <w:snapToGrid/>
      <w:spacing w:before="0" w:after="160" w:line="259" w:lineRule="auto"/>
    </w:pPr>
    <w:rPr>
      <w:b/>
      <w:sz w:val="12"/>
      <w:szCs w:val="12"/>
    </w:rPr>
  </w:style>
  <w:style w:type="paragraph" w:styleId="Header">
    <w:name w:val="header"/>
    <w:basedOn w:val="Normal"/>
    <w:link w:val="HeaderChar"/>
    <w:uiPriority w:val="99"/>
    <w:unhideWhenUsed/>
    <w:rsid w:val="00C34697"/>
    <w:pPr>
      <w:tabs>
        <w:tab w:val="center" w:pos="4513"/>
        <w:tab w:val="right" w:pos="9026"/>
      </w:tabs>
      <w:spacing w:before="0"/>
    </w:pPr>
  </w:style>
  <w:style w:type="character" w:customStyle="1" w:styleId="HeaderChar">
    <w:name w:val="Header Char"/>
    <w:basedOn w:val="DefaultParagraphFont"/>
    <w:link w:val="Header"/>
    <w:uiPriority w:val="99"/>
    <w:rsid w:val="00C346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1313">
      <w:bodyDiv w:val="1"/>
      <w:marLeft w:val="0"/>
      <w:marRight w:val="0"/>
      <w:marTop w:val="0"/>
      <w:marBottom w:val="0"/>
      <w:divBdr>
        <w:top w:val="none" w:sz="0" w:space="0" w:color="auto"/>
        <w:left w:val="none" w:sz="0" w:space="0" w:color="auto"/>
        <w:bottom w:val="none" w:sz="0" w:space="0" w:color="auto"/>
        <w:right w:val="none" w:sz="0" w:space="0" w:color="auto"/>
      </w:divBdr>
    </w:div>
    <w:div w:id="662128683">
      <w:bodyDiv w:val="1"/>
      <w:marLeft w:val="0"/>
      <w:marRight w:val="0"/>
      <w:marTop w:val="0"/>
      <w:marBottom w:val="0"/>
      <w:divBdr>
        <w:top w:val="none" w:sz="0" w:space="0" w:color="auto"/>
        <w:left w:val="none" w:sz="0" w:space="0" w:color="auto"/>
        <w:bottom w:val="none" w:sz="0" w:space="0" w:color="auto"/>
        <w:right w:val="none" w:sz="0" w:space="0" w:color="auto"/>
      </w:divBdr>
    </w:div>
    <w:div w:id="794641735">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1162963946">
      <w:bodyDiv w:val="1"/>
      <w:marLeft w:val="0"/>
      <w:marRight w:val="0"/>
      <w:marTop w:val="0"/>
      <w:marBottom w:val="0"/>
      <w:divBdr>
        <w:top w:val="none" w:sz="0" w:space="0" w:color="auto"/>
        <w:left w:val="none" w:sz="0" w:space="0" w:color="auto"/>
        <w:bottom w:val="none" w:sz="0" w:space="0" w:color="auto"/>
        <w:right w:val="none" w:sz="0" w:space="0" w:color="auto"/>
      </w:divBdr>
    </w:div>
    <w:div w:id="1167328291">
      <w:bodyDiv w:val="1"/>
      <w:marLeft w:val="0"/>
      <w:marRight w:val="0"/>
      <w:marTop w:val="0"/>
      <w:marBottom w:val="0"/>
      <w:divBdr>
        <w:top w:val="none" w:sz="0" w:space="0" w:color="auto"/>
        <w:left w:val="none" w:sz="0" w:space="0" w:color="auto"/>
        <w:bottom w:val="none" w:sz="0" w:space="0" w:color="auto"/>
        <w:right w:val="none" w:sz="0" w:space="0" w:color="auto"/>
      </w:divBdr>
    </w:div>
    <w:div w:id="1169367272">
      <w:bodyDiv w:val="1"/>
      <w:marLeft w:val="0"/>
      <w:marRight w:val="0"/>
      <w:marTop w:val="0"/>
      <w:marBottom w:val="0"/>
      <w:divBdr>
        <w:top w:val="none" w:sz="0" w:space="0" w:color="auto"/>
        <w:left w:val="none" w:sz="0" w:space="0" w:color="auto"/>
        <w:bottom w:val="none" w:sz="0" w:space="0" w:color="auto"/>
        <w:right w:val="none" w:sz="0" w:space="0" w:color="auto"/>
      </w:divBdr>
    </w:div>
    <w:div w:id="1392272802">
      <w:bodyDiv w:val="1"/>
      <w:marLeft w:val="0"/>
      <w:marRight w:val="0"/>
      <w:marTop w:val="0"/>
      <w:marBottom w:val="0"/>
      <w:divBdr>
        <w:top w:val="none" w:sz="0" w:space="0" w:color="auto"/>
        <w:left w:val="none" w:sz="0" w:space="0" w:color="auto"/>
        <w:bottom w:val="none" w:sz="0" w:space="0" w:color="auto"/>
        <w:right w:val="none" w:sz="0" w:space="0" w:color="auto"/>
      </w:divBdr>
      <w:divsChild>
        <w:div w:id="1152329983">
          <w:marLeft w:val="274"/>
          <w:marRight w:val="0"/>
          <w:marTop w:val="0"/>
          <w:marBottom w:val="0"/>
          <w:divBdr>
            <w:top w:val="none" w:sz="0" w:space="0" w:color="auto"/>
            <w:left w:val="none" w:sz="0" w:space="0" w:color="auto"/>
            <w:bottom w:val="none" w:sz="0" w:space="0" w:color="auto"/>
            <w:right w:val="none" w:sz="0" w:space="0" w:color="auto"/>
          </w:divBdr>
        </w:div>
      </w:divsChild>
    </w:div>
    <w:div w:id="1472016648">
      <w:bodyDiv w:val="1"/>
      <w:marLeft w:val="0"/>
      <w:marRight w:val="0"/>
      <w:marTop w:val="0"/>
      <w:marBottom w:val="0"/>
      <w:divBdr>
        <w:top w:val="none" w:sz="0" w:space="0" w:color="auto"/>
        <w:left w:val="none" w:sz="0" w:space="0" w:color="auto"/>
        <w:bottom w:val="none" w:sz="0" w:space="0" w:color="auto"/>
        <w:right w:val="none" w:sz="0" w:space="0" w:color="auto"/>
      </w:divBdr>
    </w:div>
    <w:div w:id="1950620405">
      <w:bodyDiv w:val="1"/>
      <w:marLeft w:val="0"/>
      <w:marRight w:val="0"/>
      <w:marTop w:val="0"/>
      <w:marBottom w:val="0"/>
      <w:divBdr>
        <w:top w:val="none" w:sz="0" w:space="0" w:color="auto"/>
        <w:left w:val="none" w:sz="0" w:space="0" w:color="auto"/>
        <w:bottom w:val="none" w:sz="0" w:space="0" w:color="auto"/>
        <w:right w:val="none" w:sz="0" w:space="0" w:color="auto"/>
      </w:divBdr>
    </w:div>
    <w:div w:id="2090926654">
      <w:bodyDiv w:val="1"/>
      <w:marLeft w:val="0"/>
      <w:marRight w:val="0"/>
      <w:marTop w:val="0"/>
      <w:marBottom w:val="0"/>
      <w:divBdr>
        <w:top w:val="none" w:sz="0" w:space="0" w:color="auto"/>
        <w:left w:val="none" w:sz="0" w:space="0" w:color="auto"/>
        <w:bottom w:val="none" w:sz="0" w:space="0" w:color="auto"/>
        <w:right w:val="none" w:sz="0" w:space="0" w:color="auto"/>
      </w:divBdr>
    </w:div>
    <w:div w:id="2138981920">
      <w:bodyDiv w:val="1"/>
      <w:marLeft w:val="0"/>
      <w:marRight w:val="0"/>
      <w:marTop w:val="0"/>
      <w:marBottom w:val="0"/>
      <w:divBdr>
        <w:top w:val="none" w:sz="0" w:space="0" w:color="auto"/>
        <w:left w:val="none" w:sz="0" w:space="0" w:color="auto"/>
        <w:bottom w:val="none" w:sz="0" w:space="0" w:color="auto"/>
        <w:right w:val="none" w:sz="0" w:space="0" w:color="auto"/>
      </w:divBdr>
      <w:divsChild>
        <w:div w:id="119153639">
          <w:marLeft w:val="274"/>
          <w:marRight w:val="0"/>
          <w:marTop w:val="0"/>
          <w:marBottom w:val="0"/>
          <w:divBdr>
            <w:top w:val="none" w:sz="0" w:space="0" w:color="auto"/>
            <w:left w:val="none" w:sz="0" w:space="0" w:color="auto"/>
            <w:bottom w:val="none" w:sz="0" w:space="0" w:color="auto"/>
            <w:right w:val="none" w:sz="0" w:space="0" w:color="auto"/>
          </w:divBdr>
        </w:div>
        <w:div w:id="1593314971">
          <w:marLeft w:val="274"/>
          <w:marRight w:val="0"/>
          <w:marTop w:val="0"/>
          <w:marBottom w:val="0"/>
          <w:divBdr>
            <w:top w:val="none" w:sz="0" w:space="0" w:color="auto"/>
            <w:left w:val="none" w:sz="0" w:space="0" w:color="auto"/>
            <w:bottom w:val="none" w:sz="0" w:space="0" w:color="auto"/>
            <w:right w:val="none" w:sz="0" w:space="0" w:color="auto"/>
          </w:divBdr>
        </w:div>
        <w:div w:id="1594894446">
          <w:marLeft w:val="274"/>
          <w:marRight w:val="0"/>
          <w:marTop w:val="0"/>
          <w:marBottom w:val="0"/>
          <w:divBdr>
            <w:top w:val="none" w:sz="0" w:space="0" w:color="auto"/>
            <w:left w:val="none" w:sz="0" w:space="0" w:color="auto"/>
            <w:bottom w:val="none" w:sz="0" w:space="0" w:color="auto"/>
            <w:right w:val="none" w:sz="0" w:space="0" w:color="auto"/>
          </w:divBdr>
        </w:div>
        <w:div w:id="1592201902">
          <w:marLeft w:val="274"/>
          <w:marRight w:val="0"/>
          <w:marTop w:val="0"/>
          <w:marBottom w:val="0"/>
          <w:divBdr>
            <w:top w:val="none" w:sz="0" w:space="0" w:color="auto"/>
            <w:left w:val="none" w:sz="0" w:space="0" w:color="auto"/>
            <w:bottom w:val="none" w:sz="0" w:space="0" w:color="auto"/>
            <w:right w:val="none" w:sz="0" w:space="0" w:color="auto"/>
          </w:divBdr>
        </w:div>
        <w:div w:id="654251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PATELA14</dc:creator>
  <cp:lastModifiedBy>WILSON, Jonathan (MOORFIELDS EYE HOSPITAL NHS FOUNDATION TRUST)</cp:lastModifiedBy>
  <cp:revision>19</cp:revision>
  <dcterms:created xsi:type="dcterms:W3CDTF">2022-09-15T16:21:00Z</dcterms:created>
  <dcterms:modified xsi:type="dcterms:W3CDTF">2023-01-19T11:47:00Z</dcterms:modified>
</cp:coreProperties>
</file>